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D6E08" w14:textId="77777777" w:rsidR="00847C40" w:rsidRDefault="00847C40" w:rsidP="007F686D">
      <w:pPr>
        <w:jc w:val="center"/>
        <w:rPr>
          <w:b/>
          <w:bCs/>
        </w:rPr>
      </w:pPr>
    </w:p>
    <w:p w14:paraId="55146C56" w14:textId="53E1DCA4" w:rsidR="00847C40" w:rsidRPr="00D90CDA" w:rsidRDefault="00847C40" w:rsidP="00847C40">
      <w:pPr>
        <w:rPr>
          <w:b/>
          <w:bCs/>
          <w:color w:val="00423A"/>
          <w:sz w:val="36"/>
          <w:szCs w:val="36"/>
        </w:rPr>
      </w:pPr>
      <w:r w:rsidRPr="00D90CDA">
        <w:rPr>
          <w:b/>
          <w:bCs/>
          <w:color w:val="00423A"/>
          <w:sz w:val="36"/>
          <w:szCs w:val="36"/>
        </w:rPr>
        <w:t xml:space="preserve">Medicines </w:t>
      </w:r>
      <w:r>
        <w:rPr>
          <w:b/>
          <w:bCs/>
          <w:color w:val="00423A"/>
          <w:sz w:val="36"/>
          <w:szCs w:val="36"/>
        </w:rPr>
        <w:t xml:space="preserve">Biosimilars </w:t>
      </w:r>
      <w:r w:rsidRPr="00847C40">
        <w:rPr>
          <w:b/>
          <w:bCs/>
          <w:color w:val="00423A"/>
          <w:sz w:val="36"/>
          <w:szCs w:val="36"/>
        </w:rPr>
        <w:t>– Regulatory workstream</w:t>
      </w:r>
    </w:p>
    <w:p w14:paraId="07FFCCBF" w14:textId="05C8878D" w:rsidR="00847C40" w:rsidRPr="00563981" w:rsidRDefault="00847C40" w:rsidP="00847C40">
      <w:pPr>
        <w:rPr>
          <w:b/>
          <w:bCs/>
          <w:color w:val="00423A"/>
        </w:rPr>
      </w:pPr>
      <w:r w:rsidRPr="00563981">
        <w:rPr>
          <w:b/>
          <w:bCs/>
          <w:color w:val="00423A"/>
        </w:rPr>
        <w:t>FAQ Documents</w:t>
      </w:r>
    </w:p>
    <w:p w14:paraId="6A988DF1" w14:textId="235D3638" w:rsidR="00C52103" w:rsidRPr="00563981" w:rsidRDefault="00C52103" w:rsidP="001378B1">
      <w:pPr>
        <w:rPr>
          <w:b/>
          <w:bCs/>
          <w:i/>
          <w:iCs/>
          <w:color w:val="00423A"/>
        </w:rPr>
      </w:pPr>
      <w:r w:rsidRPr="00563981">
        <w:rPr>
          <w:b/>
          <w:bCs/>
          <w:i/>
          <w:iCs/>
          <w:color w:val="00423A"/>
        </w:rPr>
        <w:t xml:space="preserve">From webinar </w:t>
      </w:r>
    </w:p>
    <w:p w14:paraId="3578255D" w14:textId="4FEA0111" w:rsidR="00687FF7" w:rsidRPr="00563981" w:rsidRDefault="001378B1" w:rsidP="00EF2634">
      <w:pPr>
        <w:pStyle w:val="ListParagraph"/>
        <w:numPr>
          <w:ilvl w:val="0"/>
          <w:numId w:val="1"/>
        </w:numPr>
        <w:rPr>
          <w:b/>
          <w:bCs/>
          <w:color w:val="FF4900"/>
        </w:rPr>
      </w:pPr>
      <w:r w:rsidRPr="00563981">
        <w:rPr>
          <w:b/>
          <w:bCs/>
          <w:color w:val="FF4900"/>
        </w:rPr>
        <w:t>Will the MHRA be introducing a service whereby proposed brand names can be validated prior to MA submission?</w:t>
      </w:r>
    </w:p>
    <w:p w14:paraId="466F3937" w14:textId="77777777" w:rsidR="006B534E" w:rsidRDefault="006B534E" w:rsidP="7567F167">
      <w:pPr>
        <w:pStyle w:val="ListParagraph"/>
      </w:pPr>
    </w:p>
    <w:p w14:paraId="26500B5C" w14:textId="0041D6C7" w:rsidR="7567F167" w:rsidRDefault="006B534E" w:rsidP="006B534E">
      <w:pPr>
        <w:pStyle w:val="ListParagraph"/>
        <w:pBdr>
          <w:top w:val="single" w:sz="4" w:space="1" w:color="auto"/>
          <w:left w:val="single" w:sz="4" w:space="4" w:color="auto"/>
          <w:bottom w:val="single" w:sz="4" w:space="1" w:color="auto"/>
          <w:right w:val="single" w:sz="4" w:space="4" w:color="auto"/>
        </w:pBdr>
      </w:pPr>
      <w:r>
        <w:t>No. Invented product names should be submitted at the start of the procedure. These may be assessed earlier, with comments provided with the first round of questions. However, the name cannot be agreed before the procedure is positively concluded and the marketing authorisation (or the variation to one) is granted.</w:t>
      </w:r>
    </w:p>
    <w:p w14:paraId="6E97B250" w14:textId="77777777" w:rsidR="006B534E" w:rsidRDefault="006B534E" w:rsidP="7567F167">
      <w:pPr>
        <w:pStyle w:val="ListParagraph"/>
      </w:pPr>
    </w:p>
    <w:p w14:paraId="600C73AA" w14:textId="512D315C" w:rsidR="001378B1" w:rsidRPr="00563981" w:rsidRDefault="1426778B" w:rsidP="00EF2634">
      <w:pPr>
        <w:pStyle w:val="ListParagraph"/>
        <w:numPr>
          <w:ilvl w:val="0"/>
          <w:numId w:val="1"/>
        </w:numPr>
        <w:rPr>
          <w:b/>
          <w:bCs/>
          <w:color w:val="FF4900"/>
        </w:rPr>
      </w:pPr>
      <w:r w:rsidRPr="00563981">
        <w:rPr>
          <w:b/>
          <w:bCs/>
          <w:color w:val="FF4900"/>
        </w:rPr>
        <w:t>C</w:t>
      </w:r>
      <w:r w:rsidR="4E2C742E" w:rsidRPr="00563981">
        <w:rPr>
          <w:b/>
          <w:bCs/>
          <w:color w:val="FF4900"/>
        </w:rPr>
        <w:t>ould you please highlight where we can get additional information/guidance on the device information that should be included in the MHRA dossier (rather than the NB dossier)</w:t>
      </w:r>
      <w:r w:rsidR="3BB45107" w:rsidRPr="00563981">
        <w:rPr>
          <w:b/>
          <w:bCs/>
          <w:color w:val="FF4900"/>
        </w:rPr>
        <w:t>?</w:t>
      </w:r>
    </w:p>
    <w:p w14:paraId="4B320310" w14:textId="77777777" w:rsidR="00AE7F28" w:rsidRDefault="00AE7F28" w:rsidP="00501FA9">
      <w:pPr>
        <w:pStyle w:val="ListParagraph"/>
      </w:pPr>
    </w:p>
    <w:p w14:paraId="20BCFCA8" w14:textId="7BAAEF19" w:rsidR="00F17408" w:rsidRDefault="00F17408" w:rsidP="16C3A1E3">
      <w:pPr>
        <w:pStyle w:val="ListParagraph"/>
        <w:pBdr>
          <w:top w:val="single" w:sz="4" w:space="1" w:color="auto"/>
          <w:left w:val="single" w:sz="4" w:space="4" w:color="auto"/>
          <w:bottom w:val="single" w:sz="4" w:space="1" w:color="auto"/>
          <w:right w:val="single" w:sz="4" w:space="4" w:color="auto"/>
        </w:pBdr>
      </w:pPr>
      <w:r>
        <w:t xml:space="preserve">The technical performance of the </w:t>
      </w:r>
      <w:r w:rsidR="00576CFE">
        <w:t xml:space="preserve">medical </w:t>
      </w:r>
      <w:r>
        <w:t>device must be demonstrated</w:t>
      </w:r>
      <w:r w:rsidR="00576CFE">
        <w:t xml:space="preserve"> with the medicinal product supported by data to be</w:t>
      </w:r>
      <w:r>
        <w:t xml:space="preserve"> included in the dossier.</w:t>
      </w:r>
    </w:p>
    <w:p w14:paraId="04A1F01B" w14:textId="77777777" w:rsidR="00576CFE" w:rsidRPr="00F17408" w:rsidRDefault="00576CFE" w:rsidP="16C3A1E3">
      <w:pPr>
        <w:pStyle w:val="ListParagraph"/>
        <w:pBdr>
          <w:top w:val="single" w:sz="4" w:space="1" w:color="auto"/>
          <w:left w:val="single" w:sz="4" w:space="4" w:color="auto"/>
          <w:bottom w:val="single" w:sz="4" w:space="1" w:color="auto"/>
          <w:right w:val="single" w:sz="4" w:space="4" w:color="auto"/>
        </w:pBdr>
      </w:pPr>
    </w:p>
    <w:p w14:paraId="1C3EEE3D" w14:textId="77777777" w:rsidR="0010521B" w:rsidRDefault="00F17408" w:rsidP="16C3A1E3">
      <w:pPr>
        <w:pStyle w:val="ListParagraph"/>
        <w:pBdr>
          <w:top w:val="single" w:sz="4" w:space="1" w:color="auto"/>
          <w:left w:val="single" w:sz="4" w:space="4" w:color="auto"/>
          <w:bottom w:val="single" w:sz="4" w:space="1" w:color="auto"/>
          <w:right w:val="single" w:sz="4" w:space="4" w:color="auto"/>
        </w:pBdr>
      </w:pPr>
      <w:r>
        <w:t xml:space="preserve">In addition to reviewing the </w:t>
      </w:r>
      <w:r w:rsidR="00F57BFA" w:rsidRPr="00F57BFA">
        <w:t>Notified Body</w:t>
      </w:r>
      <w:r w:rsidR="00F57BFA">
        <w:t xml:space="preserve"> </w:t>
      </w:r>
      <w:r w:rsidR="00F57BFA" w:rsidRPr="00F57BFA">
        <w:t xml:space="preserve">Opinion </w:t>
      </w:r>
      <w:r w:rsidR="00F57BFA">
        <w:t>(</w:t>
      </w:r>
      <w:r>
        <w:t>NBOP</w:t>
      </w:r>
      <w:r w:rsidR="00F57BFA">
        <w:t>)</w:t>
      </w:r>
      <w:r>
        <w:t>, the assessment</w:t>
      </w:r>
      <w:r w:rsidR="00576CFE">
        <w:t xml:space="preserve"> may </w:t>
      </w:r>
      <w:r>
        <w:t xml:space="preserve">focus </w:t>
      </w:r>
      <w:proofErr w:type="gramStart"/>
      <w:r>
        <w:t>on:</w:t>
      </w:r>
      <w:proofErr w:type="gramEnd"/>
      <w:r w:rsidR="00E37D78">
        <w:t xml:space="preserve"> </w:t>
      </w:r>
      <w:r>
        <w:t>dose accuracy</w:t>
      </w:r>
      <w:r w:rsidR="00E37D78">
        <w:t xml:space="preserve">, </w:t>
      </w:r>
      <w:r>
        <w:t>suitability of the device for the specific medicinal product</w:t>
      </w:r>
      <w:r w:rsidR="00E37D78">
        <w:t xml:space="preserve">, </w:t>
      </w:r>
      <w:r>
        <w:t>compatibility with the medicinal product (</w:t>
      </w:r>
      <w:r w:rsidR="28222DF9">
        <w:t>during</w:t>
      </w:r>
      <w:r>
        <w:t xml:space="preserve"> storage and </w:t>
      </w:r>
      <w:r w:rsidRPr="00576CFE">
        <w:rPr>
          <w:i/>
          <w:iCs/>
        </w:rPr>
        <w:t>in-use</w:t>
      </w:r>
      <w:r>
        <w:t>), including stability</w:t>
      </w:r>
      <w:r w:rsidR="5833DC7D">
        <w:t xml:space="preserve"> and</w:t>
      </w:r>
      <w:r w:rsidR="00E37D78">
        <w:t xml:space="preserve"> </w:t>
      </w:r>
      <w:r>
        <w:t>usability</w:t>
      </w:r>
      <w:r w:rsidR="0010521B">
        <w:t xml:space="preserve"> aspects</w:t>
      </w:r>
      <w:r w:rsidR="5BC9907E">
        <w:t>.</w:t>
      </w:r>
      <w:r>
        <w:t xml:space="preserve"> </w:t>
      </w:r>
    </w:p>
    <w:p w14:paraId="653FB655" w14:textId="77777777" w:rsidR="0010521B" w:rsidRDefault="0010521B" w:rsidP="16C3A1E3">
      <w:pPr>
        <w:pStyle w:val="ListParagraph"/>
        <w:pBdr>
          <w:top w:val="single" w:sz="4" w:space="1" w:color="auto"/>
          <w:left w:val="single" w:sz="4" w:space="4" w:color="auto"/>
          <w:bottom w:val="single" w:sz="4" w:space="1" w:color="auto"/>
          <w:right w:val="single" w:sz="4" w:space="4" w:color="auto"/>
        </w:pBdr>
      </w:pPr>
    </w:p>
    <w:p w14:paraId="58DD2C9C" w14:textId="77777777" w:rsidR="0010521B" w:rsidRDefault="18E6F861" w:rsidP="16C3A1E3">
      <w:pPr>
        <w:pStyle w:val="ListParagraph"/>
        <w:pBdr>
          <w:top w:val="single" w:sz="4" w:space="1" w:color="auto"/>
          <w:left w:val="single" w:sz="4" w:space="4" w:color="auto"/>
          <w:bottom w:val="single" w:sz="4" w:space="1" w:color="auto"/>
          <w:right w:val="single" w:sz="4" w:space="4" w:color="auto"/>
        </w:pBdr>
      </w:pPr>
      <w:r>
        <w:t>T</w:t>
      </w:r>
      <w:r w:rsidR="00F17408">
        <w:t>he usability/human factors report</w:t>
      </w:r>
      <w:r w:rsidR="07BBC92F">
        <w:t>(</w:t>
      </w:r>
      <w:r w:rsidR="00F17408">
        <w:t>s</w:t>
      </w:r>
      <w:r w:rsidR="2602F0CE">
        <w:t>)</w:t>
      </w:r>
      <w:r w:rsidR="0010521B">
        <w:t xml:space="preserve"> should be included. S</w:t>
      </w:r>
      <w:r w:rsidR="00F17408">
        <w:t>ufficiently detailed summaries</w:t>
      </w:r>
      <w:r w:rsidR="3C2EDB72">
        <w:t xml:space="preserve"> should be submitted</w:t>
      </w:r>
      <w:r w:rsidR="0010521B">
        <w:t>. P</w:t>
      </w:r>
      <w:r w:rsidR="00F17408">
        <w:t xml:space="preserve">rior knowledge </w:t>
      </w:r>
      <w:r w:rsidR="0010521B">
        <w:t xml:space="preserve">and extrapolated data from other medicinal products may </w:t>
      </w:r>
      <w:r w:rsidR="00F17408">
        <w:t>be used</w:t>
      </w:r>
      <w:r w:rsidR="0010521B">
        <w:t xml:space="preserve"> where justified and supported by evidence.</w:t>
      </w:r>
    </w:p>
    <w:p w14:paraId="275ABAB8" w14:textId="69CF82E3" w:rsidR="00AE7F28" w:rsidRPr="001378B1" w:rsidRDefault="0010521B" w:rsidP="16C3A1E3">
      <w:pPr>
        <w:pStyle w:val="ListParagraph"/>
        <w:pBdr>
          <w:top w:val="single" w:sz="4" w:space="1" w:color="auto"/>
          <w:left w:val="single" w:sz="4" w:space="4" w:color="auto"/>
          <w:bottom w:val="single" w:sz="4" w:space="1" w:color="auto"/>
          <w:right w:val="single" w:sz="4" w:space="4" w:color="auto"/>
        </w:pBdr>
      </w:pPr>
      <w:r>
        <w:t xml:space="preserve"> </w:t>
      </w:r>
    </w:p>
    <w:p w14:paraId="19E734C8" w14:textId="62DF849E" w:rsidR="00AE7F28" w:rsidRDefault="00E00FEB" w:rsidP="007928E3">
      <w:pPr>
        <w:pStyle w:val="ListParagraph"/>
        <w:pBdr>
          <w:top w:val="single" w:sz="4" w:space="1" w:color="auto"/>
          <w:left w:val="single" w:sz="4" w:space="4" w:color="auto"/>
          <w:bottom w:val="single" w:sz="4" w:space="1" w:color="auto"/>
          <w:right w:val="single" w:sz="4" w:space="4" w:color="auto"/>
        </w:pBdr>
        <w:spacing w:after="0"/>
      </w:pPr>
      <w:r>
        <w:t xml:space="preserve">The level of detail expected </w:t>
      </w:r>
      <w:r w:rsidR="00D2465A">
        <w:t xml:space="preserve">would be commensurate with the complexity of the specific </w:t>
      </w:r>
      <w:r w:rsidR="00BD26A0">
        <w:t xml:space="preserve">administration device component that is being </w:t>
      </w:r>
      <w:r w:rsidR="002940A9">
        <w:t xml:space="preserve">evaluated. </w:t>
      </w:r>
      <w:r w:rsidR="0010521B">
        <w:t>Applicants are advised to engage with the MHRA as early as possible in their development process requesting p</w:t>
      </w:r>
      <w:r w:rsidR="002940A9">
        <w:t xml:space="preserve">roduct-specific </w:t>
      </w:r>
      <w:r w:rsidR="009A4F4D">
        <w:t>advice</w:t>
      </w:r>
      <w:r w:rsidR="0010521B">
        <w:t>.</w:t>
      </w:r>
    </w:p>
    <w:p w14:paraId="06013D35" w14:textId="77777777" w:rsidR="0010521B" w:rsidRDefault="0010521B" w:rsidP="007928E3">
      <w:pPr>
        <w:pStyle w:val="ListParagraph"/>
        <w:pBdr>
          <w:top w:val="single" w:sz="4" w:space="1" w:color="auto"/>
          <w:left w:val="single" w:sz="4" w:space="4" w:color="auto"/>
          <w:bottom w:val="single" w:sz="4" w:space="1" w:color="auto"/>
          <w:right w:val="single" w:sz="4" w:space="4" w:color="auto"/>
        </w:pBdr>
        <w:spacing w:after="0"/>
      </w:pPr>
    </w:p>
    <w:p w14:paraId="23FFC7C2" w14:textId="26D80184" w:rsidR="0010521B" w:rsidRPr="001378B1" w:rsidRDefault="0010521B" w:rsidP="007928E3">
      <w:pPr>
        <w:pStyle w:val="ListParagraph"/>
        <w:pBdr>
          <w:top w:val="single" w:sz="4" w:space="1" w:color="auto"/>
          <w:left w:val="single" w:sz="4" w:space="4" w:color="auto"/>
          <w:bottom w:val="single" w:sz="4" w:space="1" w:color="auto"/>
          <w:right w:val="single" w:sz="4" w:space="4" w:color="auto"/>
        </w:pBdr>
        <w:spacing w:after="0"/>
      </w:pPr>
      <w:hyperlink r:id="rId10" w:history="1">
        <w:r w:rsidRPr="00E115A6">
          <w:rPr>
            <w:rStyle w:val="Hyperlink"/>
          </w:rPr>
          <w:t>https://www.gov.uk/guidance/medicines-get-scientific-advice-from-mhra</w:t>
        </w:r>
      </w:hyperlink>
      <w:r>
        <w:t xml:space="preserve"> </w:t>
      </w:r>
    </w:p>
    <w:p w14:paraId="2F2CEFD1" w14:textId="02D58CD2" w:rsidR="7567F167" w:rsidRDefault="7567F167" w:rsidP="003C6E06"/>
    <w:p w14:paraId="6323607C" w14:textId="77777777" w:rsidR="001378B1" w:rsidRPr="00563981" w:rsidRDefault="001378B1" w:rsidP="00EF2634">
      <w:pPr>
        <w:pStyle w:val="ListParagraph"/>
        <w:numPr>
          <w:ilvl w:val="0"/>
          <w:numId w:val="1"/>
        </w:numPr>
        <w:rPr>
          <w:b/>
          <w:bCs/>
          <w:color w:val="FF4900"/>
        </w:rPr>
      </w:pPr>
      <w:r w:rsidRPr="00563981">
        <w:rPr>
          <w:b/>
          <w:bCs/>
          <w:color w:val="FF4900"/>
        </w:rPr>
        <w:t>How many UK MAs have been granted following day 150 route? I.e. within 150 active assessment days?</w:t>
      </w:r>
    </w:p>
    <w:p w14:paraId="59F02C13" w14:textId="77777777" w:rsidR="00F73F42" w:rsidRDefault="00F73F42" w:rsidP="00501FA9">
      <w:pPr>
        <w:pStyle w:val="ListParagraph"/>
        <w:rPr>
          <w:highlight w:val="yellow"/>
        </w:rPr>
      </w:pPr>
    </w:p>
    <w:p w14:paraId="16F1C082" w14:textId="03734012" w:rsidR="0010521B" w:rsidRDefault="0010521B" w:rsidP="00C208C4">
      <w:pPr>
        <w:pStyle w:val="ListParagraph"/>
        <w:pBdr>
          <w:top w:val="single" w:sz="4" w:space="1" w:color="auto"/>
          <w:left w:val="single" w:sz="4" w:space="4" w:color="auto"/>
          <w:bottom w:val="single" w:sz="4" w:space="1" w:color="auto"/>
          <w:right w:val="single" w:sz="4" w:space="4" w:color="auto"/>
        </w:pBdr>
        <w:spacing w:after="240"/>
      </w:pPr>
      <w:r w:rsidRPr="0010521B">
        <w:t>The innovative medicines timetable</w:t>
      </w:r>
      <w:r>
        <w:t>, where Biosimilars are included,</w:t>
      </w:r>
      <w:r w:rsidRPr="0010521B">
        <w:t xml:space="preserve"> allows for a positive decision within 150 clock-on days if all issues are resolved following one round of questions. Where there are outstanding issues at Day 150, we will come to a final decision as soon as possible and within 210 clock-on days.</w:t>
      </w:r>
    </w:p>
    <w:p w14:paraId="43C901A9" w14:textId="77777777" w:rsidR="0010521B" w:rsidRDefault="0010521B" w:rsidP="00C208C4">
      <w:pPr>
        <w:pStyle w:val="ListParagraph"/>
        <w:pBdr>
          <w:top w:val="single" w:sz="4" w:space="1" w:color="auto"/>
          <w:left w:val="single" w:sz="4" w:space="4" w:color="auto"/>
          <w:bottom w:val="single" w:sz="4" w:space="1" w:color="auto"/>
          <w:right w:val="single" w:sz="4" w:space="4" w:color="auto"/>
        </w:pBdr>
        <w:spacing w:after="240"/>
      </w:pPr>
    </w:p>
    <w:p w14:paraId="02470542" w14:textId="77777777" w:rsidR="0010521B" w:rsidRDefault="0010521B" w:rsidP="00C208C4">
      <w:pPr>
        <w:pStyle w:val="ListParagraph"/>
        <w:pBdr>
          <w:top w:val="single" w:sz="4" w:space="1" w:color="auto"/>
          <w:left w:val="single" w:sz="4" w:space="4" w:color="auto"/>
          <w:bottom w:val="single" w:sz="4" w:space="1" w:color="auto"/>
          <w:right w:val="single" w:sz="4" w:space="4" w:color="auto"/>
        </w:pBdr>
        <w:spacing w:after="240"/>
      </w:pPr>
      <w:r>
        <w:t>Whether a single round of questions is necessary or not depends on the applicant and the quality of the dossier submitted to the MHRA.</w:t>
      </w:r>
    </w:p>
    <w:p w14:paraId="3DAD18C9" w14:textId="77777777" w:rsidR="0010521B" w:rsidRDefault="0010521B" w:rsidP="00C208C4">
      <w:pPr>
        <w:pStyle w:val="ListParagraph"/>
        <w:pBdr>
          <w:top w:val="single" w:sz="4" w:space="1" w:color="auto"/>
          <w:left w:val="single" w:sz="4" w:space="4" w:color="auto"/>
          <w:bottom w:val="single" w:sz="4" w:space="1" w:color="auto"/>
          <w:right w:val="single" w:sz="4" w:space="4" w:color="auto"/>
        </w:pBdr>
        <w:spacing w:after="240"/>
      </w:pPr>
    </w:p>
    <w:p w14:paraId="794D677C" w14:textId="2053C9F0" w:rsidR="0010521B" w:rsidRDefault="0010521B" w:rsidP="0010521B">
      <w:pPr>
        <w:pStyle w:val="ListParagraph"/>
        <w:pBdr>
          <w:top w:val="single" w:sz="4" w:space="1" w:color="auto"/>
          <w:left w:val="single" w:sz="4" w:space="4" w:color="auto"/>
          <w:bottom w:val="single" w:sz="4" w:space="1" w:color="auto"/>
          <w:right w:val="single" w:sz="4" w:space="4" w:color="auto"/>
        </w:pBdr>
        <w:spacing w:after="0"/>
      </w:pPr>
      <w:r>
        <w:t>Applicants are advised to engage with the MHRA as early as possible in their development process via the Scientific Advice service the MHRA offers. Applicants are encouraged to engage multiple times with the MHRA via this route to maximise the chances of “getting it right the first time” and increasing de possibility of a positive conclusion of the procedure at Day 150.</w:t>
      </w:r>
    </w:p>
    <w:p w14:paraId="2988056C" w14:textId="77777777" w:rsidR="0010521B" w:rsidRDefault="0010521B" w:rsidP="0010521B">
      <w:pPr>
        <w:pStyle w:val="ListParagraph"/>
        <w:pBdr>
          <w:top w:val="single" w:sz="4" w:space="1" w:color="auto"/>
          <w:left w:val="single" w:sz="4" w:space="4" w:color="auto"/>
          <w:bottom w:val="single" w:sz="4" w:space="1" w:color="auto"/>
          <w:right w:val="single" w:sz="4" w:space="4" w:color="auto"/>
        </w:pBdr>
        <w:spacing w:after="0"/>
      </w:pPr>
    </w:p>
    <w:p w14:paraId="6244BFFF" w14:textId="77777777" w:rsidR="0010521B" w:rsidRDefault="0010521B" w:rsidP="0010521B">
      <w:pPr>
        <w:pStyle w:val="ListParagraph"/>
        <w:pBdr>
          <w:top w:val="single" w:sz="4" w:space="1" w:color="auto"/>
          <w:left w:val="single" w:sz="4" w:space="4" w:color="auto"/>
          <w:bottom w:val="single" w:sz="4" w:space="1" w:color="auto"/>
          <w:right w:val="single" w:sz="4" w:space="4" w:color="auto"/>
        </w:pBdr>
        <w:spacing w:after="0"/>
      </w:pPr>
      <w:hyperlink r:id="rId11" w:history="1">
        <w:r w:rsidRPr="00E115A6">
          <w:rPr>
            <w:rStyle w:val="Hyperlink"/>
          </w:rPr>
          <w:t>https://www.gov.uk/guidance/medicines-get-scientific-advice-from-mhra</w:t>
        </w:r>
      </w:hyperlink>
      <w:r>
        <w:t xml:space="preserve"> </w:t>
      </w:r>
    </w:p>
    <w:p w14:paraId="6A6E90B8" w14:textId="77777777" w:rsidR="0010521B" w:rsidRDefault="0010521B" w:rsidP="0010521B">
      <w:pPr>
        <w:pStyle w:val="ListParagraph"/>
        <w:pBdr>
          <w:top w:val="single" w:sz="4" w:space="1" w:color="auto"/>
          <w:left w:val="single" w:sz="4" w:space="4" w:color="auto"/>
          <w:bottom w:val="single" w:sz="4" w:space="1" w:color="auto"/>
          <w:right w:val="single" w:sz="4" w:space="4" w:color="auto"/>
        </w:pBdr>
        <w:spacing w:after="0"/>
      </w:pPr>
    </w:p>
    <w:p w14:paraId="1D72AF6B" w14:textId="0961AB12" w:rsidR="0010521B" w:rsidRDefault="00BE385B" w:rsidP="0010521B">
      <w:pPr>
        <w:pStyle w:val="ListParagraph"/>
        <w:pBdr>
          <w:top w:val="single" w:sz="4" w:space="1" w:color="auto"/>
          <w:left w:val="single" w:sz="4" w:space="4" w:color="auto"/>
          <w:bottom w:val="single" w:sz="4" w:space="1" w:color="auto"/>
          <w:right w:val="single" w:sz="4" w:space="4" w:color="auto"/>
        </w:pBdr>
        <w:spacing w:after="0"/>
      </w:pPr>
      <w:r>
        <w:t>Al</w:t>
      </w:r>
      <w:r w:rsidR="0010521B">
        <w:t xml:space="preserve">l biosimilar applicants must notify </w:t>
      </w:r>
      <w:r w:rsidRPr="00BE385B">
        <w:t>us of your intended submission date at least 3 months in advance, by completing the pre-submission notification form</w:t>
      </w:r>
      <w:r>
        <w:t xml:space="preserve"> and requesting a pre-submission meeting (for National, Access and IRP-B procedures). Pre-submission meetings are not Scientific Advice meetings, these are meant for the applicant to present its dossier to the assessment team, give an overview and inform the agency of its timings and wider regulatory strategy.</w:t>
      </w:r>
    </w:p>
    <w:p w14:paraId="3E9D9B8B" w14:textId="77777777" w:rsidR="00BE385B" w:rsidRDefault="00BE385B" w:rsidP="0010521B">
      <w:pPr>
        <w:pStyle w:val="ListParagraph"/>
        <w:pBdr>
          <w:top w:val="single" w:sz="4" w:space="1" w:color="auto"/>
          <w:left w:val="single" w:sz="4" w:space="4" w:color="auto"/>
          <w:bottom w:val="single" w:sz="4" w:space="1" w:color="auto"/>
          <w:right w:val="single" w:sz="4" w:space="4" w:color="auto"/>
        </w:pBdr>
        <w:spacing w:after="0"/>
      </w:pPr>
    </w:p>
    <w:p w14:paraId="1DA89CD3" w14:textId="68FE3A06" w:rsidR="00BE385B" w:rsidRPr="001378B1" w:rsidRDefault="00BE385B" w:rsidP="0010521B">
      <w:pPr>
        <w:pStyle w:val="ListParagraph"/>
        <w:pBdr>
          <w:top w:val="single" w:sz="4" w:space="1" w:color="auto"/>
          <w:left w:val="single" w:sz="4" w:space="4" w:color="auto"/>
          <w:bottom w:val="single" w:sz="4" w:space="1" w:color="auto"/>
          <w:right w:val="single" w:sz="4" w:space="4" w:color="auto"/>
        </w:pBdr>
        <w:spacing w:after="0"/>
      </w:pPr>
      <w:hyperlink r:id="rId12" w:history="1">
        <w:r w:rsidRPr="00E17C07">
          <w:rPr>
            <w:rStyle w:val="Hyperlink"/>
          </w:rPr>
          <w:t>https://www.gov.uk/guidance/pre-submission-advice-support</w:t>
        </w:r>
      </w:hyperlink>
      <w:r>
        <w:t xml:space="preserve"> </w:t>
      </w:r>
    </w:p>
    <w:p w14:paraId="009073FC" w14:textId="77777777" w:rsidR="00411552" w:rsidRPr="001378B1" w:rsidRDefault="00411552" w:rsidP="00501FA9">
      <w:pPr>
        <w:pStyle w:val="ListParagraph"/>
      </w:pPr>
    </w:p>
    <w:p w14:paraId="742E244D" w14:textId="1ADE5EDD" w:rsidR="7567F167" w:rsidRDefault="7567F167" w:rsidP="7567F167">
      <w:pPr>
        <w:pStyle w:val="ListParagraph"/>
      </w:pPr>
    </w:p>
    <w:p w14:paraId="4E2DA4D7" w14:textId="0560EE60" w:rsidR="001378B1" w:rsidRPr="00563981" w:rsidRDefault="001378B1" w:rsidP="7567F167">
      <w:pPr>
        <w:pStyle w:val="ListParagraph"/>
        <w:numPr>
          <w:ilvl w:val="0"/>
          <w:numId w:val="1"/>
        </w:numPr>
        <w:rPr>
          <w:b/>
          <w:bCs/>
          <w:color w:val="FF4900"/>
        </w:rPr>
      </w:pPr>
      <w:r w:rsidRPr="00563981">
        <w:rPr>
          <w:b/>
          <w:bCs/>
          <w:color w:val="FF4900"/>
        </w:rPr>
        <w:t>Can you advise the types of situation</w:t>
      </w:r>
      <w:r w:rsidR="4DD53E69" w:rsidRPr="00563981">
        <w:rPr>
          <w:b/>
          <w:bCs/>
          <w:color w:val="FF4900"/>
        </w:rPr>
        <w:t>s</w:t>
      </w:r>
      <w:r w:rsidRPr="00563981">
        <w:rPr>
          <w:b/>
          <w:bCs/>
          <w:color w:val="FF4900"/>
        </w:rPr>
        <w:t xml:space="preserve"> that might require the submission of PD data in addition to PK data?</w:t>
      </w:r>
    </w:p>
    <w:p w14:paraId="3569930F" w14:textId="77777777" w:rsidR="00844A79" w:rsidRDefault="00844A79" w:rsidP="7567F167">
      <w:pPr>
        <w:pStyle w:val="ListParagraph"/>
      </w:pPr>
    </w:p>
    <w:p w14:paraId="48B32E94" w14:textId="1EFF52F2" w:rsidR="00801440" w:rsidRDefault="3D6BC3EA" w:rsidP="00A86365">
      <w:pPr>
        <w:pStyle w:val="ListParagraph"/>
        <w:pBdr>
          <w:top w:val="single" w:sz="4" w:space="1" w:color="auto"/>
          <w:left w:val="single" w:sz="4" w:space="4" w:color="auto"/>
          <w:bottom w:val="single" w:sz="4" w:space="1" w:color="auto"/>
          <w:right w:val="single" w:sz="4" w:space="4" w:color="auto"/>
        </w:pBdr>
      </w:pPr>
      <w:r w:rsidRPr="4540856A">
        <w:rPr>
          <w:rFonts w:ascii="Aptos" w:eastAsia="Aptos" w:hAnsi="Aptos" w:cs="Aptos"/>
        </w:rPr>
        <w:t xml:space="preserve">The clinical comparability exercise should always include a comparative PK trial (where measurable), which may include the measurement of PD markers if available. </w:t>
      </w:r>
      <w:r w:rsidR="00966821">
        <w:t xml:space="preserve"> </w:t>
      </w:r>
      <w:r w:rsidR="2A1EA8A5">
        <w:t>This</w:t>
      </w:r>
      <w:r w:rsidR="00966821">
        <w:t xml:space="preserve"> study </w:t>
      </w:r>
      <w:r w:rsidR="690F1F02">
        <w:t>provides</w:t>
      </w:r>
      <w:r w:rsidR="00966821">
        <w:t xml:space="preserve"> the</w:t>
      </w:r>
      <w:r w:rsidR="009E52EF">
        <w:t xml:space="preserve"> pivotal clinical data for demonstration of </w:t>
      </w:r>
      <w:proofErr w:type="spellStart"/>
      <w:r w:rsidR="009E52EF">
        <w:t>biosimilarity</w:t>
      </w:r>
      <w:proofErr w:type="spellEnd"/>
      <w:r w:rsidR="009E52EF">
        <w:t xml:space="preserve"> for the MHRA without the requirement for a comparative clinical </w:t>
      </w:r>
      <w:r w:rsidR="009E52EF">
        <w:lastRenderedPageBreak/>
        <w:t>efficacy and safety study</w:t>
      </w:r>
      <w:r w:rsidR="24091D94">
        <w:t xml:space="preserve"> in most cases</w:t>
      </w:r>
      <w:r w:rsidR="00025E85">
        <w:t>,</w:t>
      </w:r>
      <w:r w:rsidR="00E31668">
        <w:t xml:space="preserve"> following justification from the applicant based on mechanism of action</w:t>
      </w:r>
      <w:r w:rsidR="009E52EF">
        <w:t xml:space="preserve">. </w:t>
      </w:r>
    </w:p>
    <w:p w14:paraId="6A89D2FF" w14:textId="46C2F49A" w:rsidR="00801440" w:rsidRPr="00BA2CED" w:rsidRDefault="00801440" w:rsidP="4540856A">
      <w:pPr>
        <w:pStyle w:val="ListParagraph"/>
        <w:pBdr>
          <w:top w:val="single" w:sz="4" w:space="1" w:color="auto"/>
          <w:left w:val="single" w:sz="4" w:space="4" w:color="auto"/>
          <w:bottom w:val="single" w:sz="4" w:space="1" w:color="auto"/>
          <w:right w:val="single" w:sz="4" w:space="4" w:color="auto"/>
        </w:pBdr>
        <w:rPr>
          <w:sz w:val="8"/>
          <w:szCs w:val="8"/>
        </w:rPr>
      </w:pPr>
    </w:p>
    <w:p w14:paraId="08327A7E" w14:textId="0511FF77" w:rsidR="00C17FB0" w:rsidRDefault="0006259D" w:rsidP="4540856A">
      <w:pPr>
        <w:pStyle w:val="ListParagraph"/>
        <w:pBdr>
          <w:top w:val="single" w:sz="4" w:space="1" w:color="auto"/>
          <w:left w:val="single" w:sz="4" w:space="4" w:color="auto"/>
          <w:bottom w:val="single" w:sz="4" w:space="1" w:color="auto"/>
          <w:right w:val="single" w:sz="4" w:space="4" w:color="auto"/>
        </w:pBdr>
      </w:pPr>
      <w:r>
        <w:t xml:space="preserve">When PD </w:t>
      </w:r>
      <w:r w:rsidR="2D7DBA61">
        <w:t xml:space="preserve">data </w:t>
      </w:r>
      <w:r>
        <w:t>is available</w:t>
      </w:r>
      <w:r w:rsidR="00B842AE">
        <w:t xml:space="preserve"> and already established for the reference medicinal product</w:t>
      </w:r>
      <w:r w:rsidR="00025E85">
        <w:t>,</w:t>
      </w:r>
      <w:r>
        <w:t xml:space="preserve"> it </w:t>
      </w:r>
      <w:r w:rsidR="32E181FF">
        <w:t xml:space="preserve">can </w:t>
      </w:r>
      <w:r>
        <w:t xml:space="preserve">contribute as supportive to the PK </w:t>
      </w:r>
      <w:r w:rsidR="5009C98D" w:rsidRPr="4540856A">
        <w:rPr>
          <w:rFonts w:ascii="Aptos" w:eastAsia="Aptos" w:hAnsi="Aptos" w:cs="Aptos"/>
        </w:rPr>
        <w:t xml:space="preserve">when determining a conclusion on </w:t>
      </w:r>
      <w:proofErr w:type="spellStart"/>
      <w:r w:rsidR="5009C98D" w:rsidRPr="4540856A">
        <w:rPr>
          <w:rFonts w:ascii="Aptos" w:eastAsia="Aptos" w:hAnsi="Aptos" w:cs="Aptos"/>
        </w:rPr>
        <w:t>biosimilarity</w:t>
      </w:r>
      <w:proofErr w:type="spellEnd"/>
      <w:r w:rsidR="5009C98D" w:rsidRPr="4540856A">
        <w:rPr>
          <w:rFonts w:ascii="Aptos" w:eastAsia="Aptos" w:hAnsi="Aptos" w:cs="Aptos"/>
        </w:rPr>
        <w:t xml:space="preserve"> and applicants </w:t>
      </w:r>
      <w:r w:rsidR="003129B4">
        <w:rPr>
          <w:rFonts w:ascii="Aptos" w:eastAsia="Aptos" w:hAnsi="Aptos" w:cs="Aptos"/>
        </w:rPr>
        <w:t>should</w:t>
      </w:r>
      <w:r w:rsidR="5009C98D" w:rsidRPr="4540856A">
        <w:rPr>
          <w:rFonts w:ascii="Aptos" w:eastAsia="Aptos" w:hAnsi="Aptos" w:cs="Aptos"/>
        </w:rPr>
        <w:t xml:space="preserve"> to include this data</w:t>
      </w:r>
      <w:r w:rsidR="003129B4">
        <w:rPr>
          <w:rFonts w:ascii="Aptos" w:eastAsia="Aptos" w:hAnsi="Aptos" w:cs="Aptos"/>
        </w:rPr>
        <w:t xml:space="preserve"> if available</w:t>
      </w:r>
      <w:r w:rsidR="000C421E">
        <w:t>.</w:t>
      </w:r>
      <w:r>
        <w:t xml:space="preserve"> </w:t>
      </w:r>
      <w:r w:rsidR="00C6491A">
        <w:t>For any given biosimilar product</w:t>
      </w:r>
      <w:r w:rsidR="0073104A">
        <w:t>,</w:t>
      </w:r>
      <w:r w:rsidR="00C6491A">
        <w:t xml:space="preserve"> consideration to </w:t>
      </w:r>
      <w:r w:rsidR="0073104A">
        <w:t>including</w:t>
      </w:r>
      <w:r w:rsidR="00C6491A">
        <w:t xml:space="preserve"> PD markers must </w:t>
      </w:r>
      <w:r w:rsidR="003129B4">
        <w:t>consider</w:t>
      </w:r>
      <w:r w:rsidR="00C6491A">
        <w:t xml:space="preserve"> the sensitivity and relevance of the PD marker </w:t>
      </w:r>
      <w:r w:rsidR="0073104A">
        <w:t>proposed</w:t>
      </w:r>
      <w:r w:rsidR="441DDFC7">
        <w:t>,</w:t>
      </w:r>
      <w:r w:rsidR="0073104A">
        <w:t xml:space="preserve"> </w:t>
      </w:r>
      <w:r w:rsidR="6113CF5F" w:rsidRPr="4540856A">
        <w:rPr>
          <w:rFonts w:ascii="Aptos" w:eastAsia="Aptos" w:hAnsi="Aptos" w:cs="Aptos"/>
        </w:rPr>
        <w:t xml:space="preserve">including in healthy volunteers (where relevant), </w:t>
      </w:r>
      <w:r w:rsidR="00A67284">
        <w:t>and whether</w:t>
      </w:r>
      <w:r w:rsidR="00DD701F">
        <w:t xml:space="preserve"> the PD marker is closely associated with the </w:t>
      </w:r>
      <w:r w:rsidR="003129B4">
        <w:t>medicine’s</w:t>
      </w:r>
      <w:r w:rsidR="00DD701F">
        <w:t xml:space="preserve"> known pharmacology</w:t>
      </w:r>
      <w:r w:rsidR="00FD7FE1">
        <w:t>.</w:t>
      </w:r>
      <w:r w:rsidR="00CB5D12">
        <w:t xml:space="preserve">  </w:t>
      </w:r>
    </w:p>
    <w:p w14:paraId="36144CA7" w14:textId="43A8E9D3" w:rsidR="4540856A" w:rsidRPr="00BA2CED" w:rsidRDefault="4540856A" w:rsidP="4540856A">
      <w:pPr>
        <w:pStyle w:val="ListParagraph"/>
        <w:pBdr>
          <w:top w:val="single" w:sz="4" w:space="1" w:color="auto"/>
          <w:left w:val="single" w:sz="4" w:space="4" w:color="auto"/>
          <w:bottom w:val="single" w:sz="4" w:space="1" w:color="auto"/>
          <w:right w:val="single" w:sz="4" w:space="4" w:color="auto"/>
        </w:pBdr>
        <w:rPr>
          <w:sz w:val="8"/>
          <w:szCs w:val="8"/>
        </w:rPr>
      </w:pPr>
    </w:p>
    <w:p w14:paraId="2FC75EF3" w14:textId="3E95A52A" w:rsidR="001378B1" w:rsidRPr="001378B1" w:rsidRDefault="613A84FB" w:rsidP="4540856A">
      <w:pPr>
        <w:pStyle w:val="ListParagraph"/>
        <w:pBdr>
          <w:top w:val="single" w:sz="4" w:space="1" w:color="auto"/>
          <w:left w:val="single" w:sz="4" w:space="4" w:color="auto"/>
          <w:bottom w:val="single" w:sz="4" w:space="1" w:color="auto"/>
          <w:right w:val="single" w:sz="4" w:space="4" w:color="auto"/>
        </w:pBdr>
      </w:pPr>
      <w:r w:rsidRPr="4540856A">
        <w:rPr>
          <w:rFonts w:ascii="Aptos" w:eastAsia="Aptos" w:hAnsi="Aptos" w:cs="Aptos"/>
        </w:rPr>
        <w:t>As in most cases, the PK (PD) study will be the pivotal study in the clinical development programme to support a biosimilar application in the UK</w:t>
      </w:r>
      <w:r w:rsidR="002B0671">
        <w:rPr>
          <w:rFonts w:ascii="Aptos" w:eastAsia="Aptos" w:hAnsi="Aptos" w:cs="Aptos"/>
        </w:rPr>
        <w:t xml:space="preserve">, </w:t>
      </w:r>
      <w:r w:rsidR="0046763C">
        <w:t xml:space="preserve">applicants are </w:t>
      </w:r>
      <w:r w:rsidR="4E38FC90">
        <w:t>encouraged</w:t>
      </w:r>
      <w:r w:rsidR="0046763C">
        <w:t xml:space="preserve"> to seek scientific advice from the MHRA </w:t>
      </w:r>
      <w:r w:rsidR="79608BF6" w:rsidRPr="4540856A">
        <w:rPr>
          <w:rFonts w:ascii="Aptos" w:eastAsia="Aptos" w:hAnsi="Aptos" w:cs="Aptos"/>
        </w:rPr>
        <w:t>on their planned study, including the relative contribution and relevance of PD markers</w:t>
      </w:r>
      <w:r w:rsidR="00BA2CED">
        <w:t>.</w:t>
      </w:r>
    </w:p>
    <w:p w14:paraId="14FFBB91" w14:textId="77777777" w:rsidR="004C2B83" w:rsidRPr="001378B1" w:rsidRDefault="004C2B83" w:rsidP="7567F167">
      <w:pPr>
        <w:pStyle w:val="ListParagraph"/>
      </w:pPr>
    </w:p>
    <w:p w14:paraId="6A9DB4FD" w14:textId="2A7203E1" w:rsidR="001378B1" w:rsidRPr="00563981" w:rsidRDefault="00EF2634" w:rsidP="7567F167">
      <w:pPr>
        <w:pStyle w:val="ListParagraph"/>
        <w:numPr>
          <w:ilvl w:val="0"/>
          <w:numId w:val="1"/>
        </w:numPr>
        <w:rPr>
          <w:b/>
          <w:bCs/>
          <w:color w:val="FF4900"/>
        </w:rPr>
      </w:pPr>
      <w:r w:rsidRPr="00563981">
        <w:rPr>
          <w:b/>
          <w:bCs/>
          <w:color w:val="FF4900"/>
        </w:rPr>
        <w:t>D</w:t>
      </w:r>
      <w:r w:rsidR="001378B1" w:rsidRPr="00563981">
        <w:rPr>
          <w:b/>
          <w:bCs/>
          <w:color w:val="FF4900"/>
        </w:rPr>
        <w:t>o you have advice for product types where PK/PD data might not be informative?</w:t>
      </w:r>
    </w:p>
    <w:p w14:paraId="5EDF4F42" w14:textId="77777777" w:rsidR="002055BC" w:rsidRDefault="002055BC" w:rsidP="002055BC">
      <w:pPr>
        <w:pStyle w:val="ListParagraph"/>
      </w:pPr>
    </w:p>
    <w:p w14:paraId="6CCC1538" w14:textId="2A72AB8E" w:rsidR="4EC97E50" w:rsidRDefault="4EC97E50" w:rsidP="0044614B">
      <w:pPr>
        <w:pStyle w:val="ListParagraph"/>
        <w:pBdr>
          <w:top w:val="single" w:sz="8" w:space="1" w:color="000000"/>
          <w:left w:val="single" w:sz="8" w:space="4" w:color="000000"/>
          <w:bottom w:val="single" w:sz="8" w:space="1" w:color="000000"/>
          <w:right w:val="single" w:sz="8" w:space="4" w:color="000000"/>
        </w:pBdr>
        <w:spacing w:line="276" w:lineRule="auto"/>
        <w:rPr>
          <w:rFonts w:ascii="Aptos" w:eastAsia="Aptos" w:hAnsi="Aptos" w:cs="Aptos"/>
        </w:rPr>
      </w:pPr>
      <w:r w:rsidRPr="4540856A">
        <w:rPr>
          <w:rFonts w:ascii="Aptos" w:eastAsia="Aptos" w:hAnsi="Aptos" w:cs="Aptos"/>
        </w:rPr>
        <w:t>Examples of products where PK data might not be informative include p</w:t>
      </w:r>
      <w:r w:rsidR="00C17FB0">
        <w:t xml:space="preserve">roducts where systemic levels of the drug are too low </w:t>
      </w:r>
      <w:r w:rsidR="004D3120">
        <w:t xml:space="preserve">and variable </w:t>
      </w:r>
      <w:r w:rsidR="00C17FB0">
        <w:t xml:space="preserve">to </w:t>
      </w:r>
      <w:r w:rsidR="004D3120">
        <w:t xml:space="preserve">provide pivotal PK </w:t>
      </w:r>
      <w:r w:rsidR="00C17FB0">
        <w:t xml:space="preserve">results </w:t>
      </w:r>
      <w:r w:rsidR="00B46161">
        <w:t>to</w:t>
      </w:r>
      <w:r w:rsidR="00C17FB0">
        <w:t xml:space="preserve"> allow </w:t>
      </w:r>
      <w:r w:rsidR="00D018EF">
        <w:t>comparison</w:t>
      </w:r>
      <w:r w:rsidR="00C17FB0">
        <w:t xml:space="preserve"> with the reference medicinal product</w:t>
      </w:r>
      <w:r w:rsidR="786254D0">
        <w:t xml:space="preserve"> such as</w:t>
      </w:r>
      <w:r w:rsidR="00C17FB0">
        <w:t xml:space="preserve"> </w:t>
      </w:r>
      <w:r w:rsidR="00D018EF">
        <w:t>drugs administered locally</w:t>
      </w:r>
      <w:r w:rsidR="00A86ABC">
        <w:t>,</w:t>
      </w:r>
      <w:r w:rsidR="00D018EF">
        <w:t xml:space="preserve"> e.g. </w:t>
      </w:r>
      <w:r w:rsidR="000D2846">
        <w:t>intravitreal</w:t>
      </w:r>
      <w:r w:rsidR="005D4C97">
        <w:t xml:space="preserve"> </w:t>
      </w:r>
      <w:r w:rsidR="000D2846">
        <w:t>injections</w:t>
      </w:r>
      <w:r w:rsidR="2786693A">
        <w:t>.</w:t>
      </w:r>
      <w:r w:rsidR="000D2846">
        <w:t xml:space="preserve"> </w:t>
      </w:r>
      <w:r w:rsidR="00C738DB">
        <w:t xml:space="preserve">Typically for </w:t>
      </w:r>
      <w:r w:rsidR="00154390">
        <w:t>these types of products,</w:t>
      </w:r>
      <w:r w:rsidR="00C738DB">
        <w:t xml:space="preserve"> demonstration of </w:t>
      </w:r>
      <w:proofErr w:type="spellStart"/>
      <w:r w:rsidR="00C738DB">
        <w:t>biosimilarity</w:t>
      </w:r>
      <w:proofErr w:type="spellEnd"/>
      <w:r w:rsidR="00C738DB">
        <w:t xml:space="preserve"> requires comparative clinical efficacy and safety data. </w:t>
      </w:r>
    </w:p>
    <w:p w14:paraId="1D1831F5" w14:textId="5FDE5F86" w:rsidR="4540856A" w:rsidRPr="0044614B" w:rsidRDefault="4540856A" w:rsidP="4540856A">
      <w:pPr>
        <w:pStyle w:val="ListParagraph"/>
        <w:pBdr>
          <w:top w:val="single" w:sz="8" w:space="1" w:color="000000"/>
          <w:left w:val="single" w:sz="8" w:space="4" w:color="000000"/>
          <w:bottom w:val="single" w:sz="8" w:space="1" w:color="000000"/>
          <w:right w:val="single" w:sz="8" w:space="4" w:color="000000"/>
        </w:pBdr>
        <w:spacing w:line="276" w:lineRule="auto"/>
        <w:rPr>
          <w:rFonts w:ascii="Aptos" w:eastAsia="Aptos" w:hAnsi="Aptos" w:cs="Aptos"/>
          <w:sz w:val="8"/>
          <w:szCs w:val="8"/>
        </w:rPr>
      </w:pPr>
    </w:p>
    <w:p w14:paraId="393A93B8" w14:textId="6D6FFC24" w:rsidR="58640C61" w:rsidRDefault="58640C61" w:rsidP="4540856A">
      <w:pPr>
        <w:pStyle w:val="ListParagraph"/>
        <w:pBdr>
          <w:top w:val="single" w:sz="8" w:space="1" w:color="000000"/>
          <w:left w:val="single" w:sz="8" w:space="4" w:color="000000"/>
          <w:bottom w:val="single" w:sz="8" w:space="1" w:color="000000"/>
          <w:right w:val="single" w:sz="8" w:space="4" w:color="000000"/>
        </w:pBdr>
        <w:spacing w:line="276" w:lineRule="auto"/>
        <w:rPr>
          <w:rFonts w:ascii="Aptos" w:eastAsia="Aptos" w:hAnsi="Aptos" w:cs="Aptos"/>
        </w:rPr>
      </w:pPr>
      <w:r w:rsidRPr="4540856A">
        <w:rPr>
          <w:rFonts w:ascii="Aptos" w:eastAsia="Aptos" w:hAnsi="Aptos" w:cs="Aptos"/>
        </w:rPr>
        <w:t xml:space="preserve">In such cases where PK data might not be informative, </w:t>
      </w:r>
      <w:r w:rsidR="52062E0B" w:rsidRPr="4540856A">
        <w:rPr>
          <w:rFonts w:ascii="Aptos" w:eastAsia="Aptos" w:hAnsi="Aptos" w:cs="Aptos"/>
        </w:rPr>
        <w:t>a</w:t>
      </w:r>
      <w:r w:rsidRPr="4540856A">
        <w:rPr>
          <w:rFonts w:ascii="Aptos" w:eastAsia="Aptos" w:hAnsi="Aptos" w:cs="Aptos"/>
        </w:rPr>
        <w:t>pplicants are encouraged to seek scientific advice to discuss their planned approach for the clinical comparability exercise.</w:t>
      </w:r>
    </w:p>
    <w:p w14:paraId="37EDE4F4" w14:textId="77777777" w:rsidR="00C738DB" w:rsidRDefault="00C738DB" w:rsidP="7567F167">
      <w:pPr>
        <w:pStyle w:val="ListParagraph"/>
      </w:pPr>
    </w:p>
    <w:p w14:paraId="2B4E834A" w14:textId="68EDE1AD" w:rsidR="001378B1" w:rsidRPr="00563981" w:rsidRDefault="001378B1" w:rsidP="00EF2634">
      <w:pPr>
        <w:pStyle w:val="ListParagraph"/>
        <w:numPr>
          <w:ilvl w:val="0"/>
          <w:numId w:val="1"/>
        </w:numPr>
        <w:rPr>
          <w:b/>
          <w:bCs/>
          <w:color w:val="FF4900"/>
        </w:rPr>
      </w:pPr>
      <w:r w:rsidRPr="00563981">
        <w:rPr>
          <w:b/>
          <w:bCs/>
          <w:color w:val="FF4900"/>
        </w:rPr>
        <w:t>How will subcutaneous formulations b</w:t>
      </w:r>
      <w:r w:rsidR="2AE3901B" w:rsidRPr="00563981">
        <w:rPr>
          <w:b/>
          <w:bCs/>
          <w:color w:val="FF4900"/>
        </w:rPr>
        <w:t>e</w:t>
      </w:r>
      <w:r w:rsidRPr="00563981">
        <w:rPr>
          <w:b/>
          <w:bCs/>
          <w:color w:val="FF4900"/>
        </w:rPr>
        <w:t xml:space="preserve"> compared against non-subcutaneous formulations? Are they equivalent comparisons to </w:t>
      </w:r>
      <w:r w:rsidR="7174B33F" w:rsidRPr="00563981">
        <w:rPr>
          <w:b/>
          <w:bCs/>
          <w:color w:val="FF4900"/>
        </w:rPr>
        <w:t>vial-to-vial</w:t>
      </w:r>
      <w:r w:rsidRPr="00563981">
        <w:rPr>
          <w:b/>
          <w:bCs/>
          <w:color w:val="FF4900"/>
        </w:rPr>
        <w:t xml:space="preserve"> comparisons?</w:t>
      </w:r>
    </w:p>
    <w:p w14:paraId="56E61193" w14:textId="77777777" w:rsidR="00FA752D" w:rsidRPr="001378B1" w:rsidRDefault="00FA752D" w:rsidP="00FA752D">
      <w:pPr>
        <w:pStyle w:val="ListParagraph"/>
      </w:pPr>
    </w:p>
    <w:p w14:paraId="4611E4F8" w14:textId="452809DB" w:rsidR="05604E64" w:rsidRDefault="05604E64" w:rsidP="4540856A">
      <w:pPr>
        <w:pStyle w:val="ListParagraph"/>
        <w:pBdr>
          <w:top w:val="single" w:sz="4" w:space="1" w:color="auto"/>
          <w:left w:val="single" w:sz="4" w:space="4" w:color="auto"/>
          <w:bottom w:val="single" w:sz="4" w:space="1" w:color="auto"/>
          <w:right w:val="single" w:sz="4" w:space="4" w:color="auto"/>
        </w:pBdr>
      </w:pPr>
      <w:r>
        <w:t xml:space="preserve">The route of administration of a new biosimilar must be the same as the reference medicinal product. However, following approval, the biosimilar can diverge in terms of route of administration with </w:t>
      </w:r>
      <w:r w:rsidR="003C7558">
        <w:t xml:space="preserve">a </w:t>
      </w:r>
      <w:r w:rsidR="5066AF12">
        <w:t>supporti</w:t>
      </w:r>
      <w:r w:rsidR="003129B4">
        <w:t>ng</w:t>
      </w:r>
      <w:r w:rsidR="5066AF12">
        <w:t xml:space="preserve"> data package.</w:t>
      </w:r>
    </w:p>
    <w:p w14:paraId="55580C23" w14:textId="5F8302F1" w:rsidR="4540856A" w:rsidRPr="003E5DB9" w:rsidRDefault="4540856A" w:rsidP="4540856A">
      <w:pPr>
        <w:pStyle w:val="ListParagraph"/>
        <w:pBdr>
          <w:top w:val="single" w:sz="4" w:space="1" w:color="auto"/>
          <w:left w:val="single" w:sz="4" w:space="4" w:color="auto"/>
          <w:bottom w:val="single" w:sz="4" w:space="1" w:color="auto"/>
          <w:right w:val="single" w:sz="4" w:space="4" w:color="auto"/>
        </w:pBdr>
        <w:rPr>
          <w:sz w:val="8"/>
          <w:szCs w:val="8"/>
        </w:rPr>
      </w:pPr>
    </w:p>
    <w:p w14:paraId="2CCC7523" w14:textId="441A63F2" w:rsidR="5066AF12" w:rsidRDefault="5066AF12" w:rsidP="4540856A">
      <w:pPr>
        <w:pStyle w:val="ListParagraph"/>
        <w:pBdr>
          <w:top w:val="single" w:sz="4" w:space="1" w:color="auto"/>
          <w:left w:val="single" w:sz="4" w:space="4" w:color="auto"/>
          <w:bottom w:val="single" w:sz="4" w:space="1" w:color="auto"/>
          <w:right w:val="single" w:sz="4" w:space="4" w:color="auto"/>
        </w:pBdr>
      </w:pPr>
      <w:r>
        <w:t xml:space="preserve">If the reference product can be administered both intravenously and subcutaneously, evaluation of the PK comparability of subcutaneous </w:t>
      </w:r>
      <w:r w:rsidR="38E06D64">
        <w:lastRenderedPageBreak/>
        <w:t>administration is usually sufficient as this covers both absorption and elimination, provided this is adequately justified.</w:t>
      </w:r>
    </w:p>
    <w:p w14:paraId="72C5D497" w14:textId="3937641E" w:rsidR="7567F167" w:rsidRDefault="7567F167" w:rsidP="7567F167">
      <w:pPr>
        <w:pStyle w:val="ListParagraph"/>
      </w:pPr>
    </w:p>
    <w:p w14:paraId="6A4FD72E" w14:textId="77777777" w:rsidR="001378B1" w:rsidRPr="00563981" w:rsidRDefault="001378B1" w:rsidP="00EF2634">
      <w:pPr>
        <w:pStyle w:val="ListParagraph"/>
        <w:numPr>
          <w:ilvl w:val="0"/>
          <w:numId w:val="1"/>
        </w:numPr>
        <w:rPr>
          <w:b/>
          <w:bCs/>
          <w:color w:val="FF4900"/>
        </w:rPr>
      </w:pPr>
      <w:r w:rsidRPr="00563981">
        <w:rPr>
          <w:b/>
          <w:bCs/>
          <w:color w:val="FF4900"/>
        </w:rPr>
        <w:t>If the initial MAA in UK is approved via 150 days, and in EU via centralised procedures. In the life cycle management, such as variation or line extension, can they be submitted via IRP or need to stay with national procedure?</w:t>
      </w:r>
    </w:p>
    <w:p w14:paraId="7637349A" w14:textId="77777777" w:rsidR="001974F3" w:rsidRDefault="001974F3" w:rsidP="001733B7">
      <w:pPr>
        <w:pStyle w:val="ListParagraph"/>
      </w:pPr>
    </w:p>
    <w:p w14:paraId="778E1E32" w14:textId="34511D4D" w:rsidR="001733B7" w:rsidRPr="001378B1" w:rsidRDefault="00B924DD" w:rsidP="00F73F42">
      <w:pPr>
        <w:pStyle w:val="ListParagraph"/>
        <w:pBdr>
          <w:top w:val="single" w:sz="4" w:space="1" w:color="auto"/>
          <w:left w:val="single" w:sz="4" w:space="4" w:color="auto"/>
          <w:bottom w:val="single" w:sz="4" w:space="1" w:color="auto"/>
          <w:right w:val="single" w:sz="4" w:space="4" w:color="auto"/>
        </w:pBdr>
      </w:pPr>
      <w:r>
        <w:t xml:space="preserve">Submission of the initial MAA via the National procedure to </w:t>
      </w:r>
      <w:r w:rsidR="00E03AF9">
        <w:t xml:space="preserve">the UK </w:t>
      </w:r>
      <w:r w:rsidR="00323BA9">
        <w:t xml:space="preserve">can be followed </w:t>
      </w:r>
      <w:r w:rsidR="00DC059B">
        <w:t xml:space="preserve">with subsequent variations </w:t>
      </w:r>
      <w:r w:rsidR="0044758C">
        <w:t xml:space="preserve">or line extensions </w:t>
      </w:r>
      <w:r w:rsidR="00DC059B">
        <w:t xml:space="preserve">via </w:t>
      </w:r>
      <w:r w:rsidR="00A96093">
        <w:t>IRP.</w:t>
      </w:r>
      <w:r w:rsidR="00F71B4C">
        <w:t xml:space="preserve"> </w:t>
      </w:r>
      <w:r w:rsidR="00323BA9">
        <w:t xml:space="preserve">Conversely, submission of the initial MAA via IRP can be followed </w:t>
      </w:r>
      <w:r w:rsidR="00F81536">
        <w:t xml:space="preserve">by National </w:t>
      </w:r>
      <w:r w:rsidR="00654B59">
        <w:t xml:space="preserve">or IRP </w:t>
      </w:r>
      <w:r w:rsidR="00F81536">
        <w:t>variations or line extensions.</w:t>
      </w:r>
      <w:r w:rsidR="000049B8">
        <w:t xml:space="preserve"> </w:t>
      </w:r>
      <w:r w:rsidR="003C7558">
        <w:t>Marketing Authorisation Holders are encouraged to contact MHRA Biosimilar team to seek advice when in doubt.</w:t>
      </w:r>
    </w:p>
    <w:p w14:paraId="557C481D" w14:textId="77777777" w:rsidR="00185FCF" w:rsidRPr="00670DB0" w:rsidRDefault="00185FCF" w:rsidP="00F73F42">
      <w:pPr>
        <w:pStyle w:val="ListParagraph"/>
        <w:pBdr>
          <w:top w:val="single" w:sz="4" w:space="1" w:color="auto"/>
          <w:left w:val="single" w:sz="4" w:space="4" w:color="auto"/>
          <w:bottom w:val="single" w:sz="4" w:space="1" w:color="auto"/>
          <w:right w:val="single" w:sz="4" w:space="4" w:color="auto"/>
        </w:pBdr>
        <w:rPr>
          <w:sz w:val="8"/>
          <w:szCs w:val="8"/>
        </w:rPr>
      </w:pPr>
    </w:p>
    <w:p w14:paraId="5849B2CB" w14:textId="77777777" w:rsidR="00F54AF8" w:rsidRPr="00F54AF8" w:rsidRDefault="00F54AF8" w:rsidP="00F73F42">
      <w:pPr>
        <w:pStyle w:val="ListParagraph"/>
        <w:pBdr>
          <w:top w:val="single" w:sz="4" w:space="1" w:color="auto"/>
          <w:left w:val="single" w:sz="4" w:space="4" w:color="auto"/>
          <w:bottom w:val="single" w:sz="4" w:space="1" w:color="auto"/>
          <w:right w:val="single" w:sz="4" w:space="4" w:color="auto"/>
        </w:pBdr>
        <w:rPr>
          <w:b/>
          <w:bCs/>
          <w:i/>
          <w:iCs/>
        </w:rPr>
      </w:pPr>
      <w:r w:rsidRPr="00F54AF8">
        <w:rPr>
          <w:b/>
          <w:bCs/>
          <w:i/>
          <w:iCs/>
        </w:rPr>
        <w:t>Post-authorisation IRP applications: variations and renewals</w:t>
      </w:r>
    </w:p>
    <w:p w14:paraId="6EF94211" w14:textId="77777777" w:rsidR="00BB7ED6" w:rsidRDefault="00BB7ED6" w:rsidP="00F73F42">
      <w:pPr>
        <w:pStyle w:val="ListParagraph"/>
        <w:pBdr>
          <w:top w:val="single" w:sz="4" w:space="1" w:color="auto"/>
          <w:left w:val="single" w:sz="4" w:space="4" w:color="auto"/>
          <w:bottom w:val="single" w:sz="4" w:space="1" w:color="auto"/>
          <w:right w:val="single" w:sz="4" w:space="4" w:color="auto"/>
        </w:pBdr>
        <w:rPr>
          <w:i/>
          <w:iCs/>
        </w:rPr>
      </w:pPr>
      <w:r w:rsidRPr="00BB7ED6">
        <w:rPr>
          <w:i/>
          <w:iCs/>
        </w:rPr>
        <w:t>You can use IRP for line extensions, variations (Type 1B, Type II) and renewal applications (including annual renewal of conditional MAs and annual reassessment of exceptional circumstance MAs). You can submit Type IA variations if they are part of a group with Type IB or Type II variations.</w:t>
      </w:r>
    </w:p>
    <w:p w14:paraId="20773156" w14:textId="77777777" w:rsidR="00F54AF8" w:rsidRPr="00670DB0" w:rsidRDefault="00F54AF8" w:rsidP="00F73F42">
      <w:pPr>
        <w:pStyle w:val="ListParagraph"/>
        <w:pBdr>
          <w:top w:val="single" w:sz="4" w:space="1" w:color="auto"/>
          <w:left w:val="single" w:sz="4" w:space="4" w:color="auto"/>
          <w:bottom w:val="single" w:sz="4" w:space="1" w:color="auto"/>
          <w:right w:val="single" w:sz="4" w:space="4" w:color="auto"/>
        </w:pBdr>
        <w:rPr>
          <w:i/>
          <w:iCs/>
          <w:sz w:val="8"/>
          <w:szCs w:val="8"/>
        </w:rPr>
      </w:pPr>
    </w:p>
    <w:p w14:paraId="4AE269F1" w14:textId="0D17E023" w:rsidR="003C7558" w:rsidRPr="001378B1" w:rsidRDefault="00FE541C" w:rsidP="003C7558">
      <w:pPr>
        <w:pStyle w:val="ListParagraph"/>
        <w:pBdr>
          <w:top w:val="single" w:sz="4" w:space="1" w:color="auto"/>
          <w:left w:val="single" w:sz="4" w:space="4" w:color="auto"/>
          <w:bottom w:val="single" w:sz="4" w:space="1" w:color="auto"/>
          <w:right w:val="single" w:sz="4" w:space="4" w:color="auto"/>
        </w:pBdr>
      </w:pPr>
      <w:r w:rsidRPr="004E70BE">
        <w:rPr>
          <w:i/>
          <w:iCs/>
        </w:rPr>
        <w:t>You can use IRP during the lifecycle of products that have been initially authorised or subsequently varied via standalone national, MRDCRP or ECDRP routes. Conversely, where a product has been authorised via IRP, it is acceptable to submit standalone national post-authorisation procedures, including variations.</w:t>
      </w:r>
      <w:r w:rsidR="003C7558" w:rsidRPr="003C7558">
        <w:t xml:space="preserve"> </w:t>
      </w:r>
      <w:hyperlink r:id="rId13" w:history="1">
        <w:r w:rsidR="003C7558" w:rsidRPr="00A65D40">
          <w:rPr>
            <w:rStyle w:val="Hyperlink"/>
          </w:rPr>
          <w:t>https://www.gov.uk/government/publications/international-recognition-procedure/international-recognition-procedure</w:t>
        </w:r>
      </w:hyperlink>
    </w:p>
    <w:p w14:paraId="1B1F9137" w14:textId="6B072B60" w:rsidR="00B93D5C" w:rsidRPr="00B93D5C" w:rsidRDefault="00B93D5C" w:rsidP="00F73F42">
      <w:pPr>
        <w:pStyle w:val="ListParagraph"/>
        <w:pBdr>
          <w:top w:val="single" w:sz="4" w:space="1" w:color="auto"/>
          <w:left w:val="single" w:sz="4" w:space="4" w:color="auto"/>
          <w:bottom w:val="single" w:sz="4" w:space="1" w:color="auto"/>
          <w:right w:val="single" w:sz="4" w:space="4" w:color="auto"/>
        </w:pBdr>
        <w:rPr>
          <w:i/>
          <w:iCs/>
        </w:rPr>
      </w:pPr>
    </w:p>
    <w:p w14:paraId="2AE38203" w14:textId="77777777" w:rsidR="00D13F01" w:rsidRPr="00563981" w:rsidRDefault="00D13F01" w:rsidP="001733B7">
      <w:pPr>
        <w:pStyle w:val="ListParagraph"/>
        <w:rPr>
          <w:b/>
          <w:bCs/>
          <w:color w:val="00423A"/>
        </w:rPr>
      </w:pPr>
    </w:p>
    <w:p w14:paraId="51DF152E" w14:textId="1B8EC137" w:rsidR="001378B1" w:rsidRPr="00563981" w:rsidRDefault="001378B1" w:rsidP="001378B1">
      <w:pPr>
        <w:rPr>
          <w:b/>
          <w:bCs/>
          <w:color w:val="00423A"/>
        </w:rPr>
      </w:pPr>
      <w:r w:rsidRPr="00563981">
        <w:rPr>
          <w:b/>
          <w:bCs/>
          <w:color w:val="00423A"/>
        </w:rPr>
        <w:t> </w:t>
      </w:r>
      <w:r w:rsidR="00C52103" w:rsidRPr="00563981">
        <w:rPr>
          <w:b/>
          <w:bCs/>
          <w:i/>
          <w:iCs/>
          <w:color w:val="00423A"/>
        </w:rPr>
        <w:t>From Medicines UK</w:t>
      </w:r>
    </w:p>
    <w:p w14:paraId="1B80257F" w14:textId="77777777" w:rsidR="00CD212B" w:rsidRPr="00563981" w:rsidRDefault="00CD212B" w:rsidP="00CD212B">
      <w:pPr>
        <w:rPr>
          <w:b/>
          <w:bCs/>
          <w:color w:val="00423A"/>
        </w:rPr>
      </w:pPr>
      <w:r w:rsidRPr="00563981">
        <w:rPr>
          <w:b/>
          <w:bCs/>
          <w:color w:val="00423A"/>
        </w:rPr>
        <w:t>Pharmacovigilance Risk Management Materials</w:t>
      </w:r>
    </w:p>
    <w:p w14:paraId="1E2B499D" w14:textId="7165995D" w:rsidR="00CD212B" w:rsidRPr="00563981" w:rsidRDefault="00CD212B" w:rsidP="00EF2634">
      <w:pPr>
        <w:pStyle w:val="ListParagraph"/>
        <w:numPr>
          <w:ilvl w:val="0"/>
          <w:numId w:val="2"/>
        </w:numPr>
        <w:rPr>
          <w:b/>
          <w:bCs/>
          <w:color w:val="FF4900"/>
        </w:rPr>
      </w:pPr>
      <w:r w:rsidRPr="00563981">
        <w:rPr>
          <w:b/>
          <w:bCs/>
          <w:color w:val="FF4900"/>
        </w:rPr>
        <w:t>To enable biosimilar alignment with the UK Reference Product, can MHRA make publicly available the originator information? If not, what is the route to request from MHRA?</w:t>
      </w:r>
    </w:p>
    <w:p w14:paraId="2F29DE8D" w14:textId="7C97EC18" w:rsidR="71DF73B5" w:rsidRDefault="71DF73B5" w:rsidP="71DF73B5">
      <w:pPr>
        <w:pStyle w:val="ListParagraph"/>
        <w:rPr>
          <w:highlight w:val="yellow"/>
        </w:rPr>
      </w:pPr>
    </w:p>
    <w:p w14:paraId="258F51DA" w14:textId="38F3615E" w:rsidR="003C7558" w:rsidRDefault="003C7558" w:rsidP="00D93EE1">
      <w:pPr>
        <w:pStyle w:val="ListParagraph"/>
        <w:pBdr>
          <w:top w:val="single" w:sz="4" w:space="1" w:color="auto"/>
          <w:left w:val="single" w:sz="4" w:space="4" w:color="auto"/>
          <w:bottom w:val="single" w:sz="4" w:space="1" w:color="auto"/>
          <w:right w:val="single" w:sz="4" w:space="4" w:color="auto"/>
        </w:pBdr>
      </w:pPr>
      <w:r>
        <w:t xml:space="preserve">The list of MHRA approved products is publicly available here: </w:t>
      </w:r>
      <w:hyperlink r:id="rId14" w:history="1">
        <w:r w:rsidRPr="00E17C07">
          <w:rPr>
            <w:rStyle w:val="Hyperlink"/>
          </w:rPr>
          <w:t>https://products.mhra.gov.uk/</w:t>
        </w:r>
      </w:hyperlink>
      <w:r>
        <w:t xml:space="preserve"> </w:t>
      </w:r>
    </w:p>
    <w:p w14:paraId="614397BB" w14:textId="77777777" w:rsidR="003C7558" w:rsidRDefault="003C7558" w:rsidP="003C7558">
      <w:pPr>
        <w:pStyle w:val="ListParagraph"/>
        <w:pBdr>
          <w:top w:val="single" w:sz="4" w:space="1" w:color="auto"/>
          <w:left w:val="single" w:sz="4" w:space="4" w:color="auto"/>
          <w:bottom w:val="single" w:sz="4" w:space="1" w:color="auto"/>
          <w:right w:val="single" w:sz="4" w:space="4" w:color="auto"/>
        </w:pBdr>
      </w:pPr>
    </w:p>
    <w:p w14:paraId="7A67700B" w14:textId="14FDAE81" w:rsidR="003C7558" w:rsidRDefault="003C7558" w:rsidP="003C7558">
      <w:pPr>
        <w:pStyle w:val="ListParagraph"/>
        <w:pBdr>
          <w:top w:val="single" w:sz="4" w:space="1" w:color="auto"/>
          <w:left w:val="single" w:sz="4" w:space="4" w:color="auto"/>
          <w:bottom w:val="single" w:sz="4" w:space="1" w:color="auto"/>
          <w:right w:val="single" w:sz="4" w:space="4" w:color="auto"/>
        </w:pBdr>
      </w:pPr>
      <w:r>
        <w:lastRenderedPageBreak/>
        <w:t xml:space="preserve">The MHRA also publishes a list of all the granted licences per calendar month with the date of grant of each licence: </w:t>
      </w:r>
      <w:hyperlink r:id="rId15" w:history="1">
        <w:r w:rsidRPr="00E17C07">
          <w:rPr>
            <w:rStyle w:val="Hyperlink"/>
          </w:rPr>
          <w:t>https://www.gov.uk/government/collections/marketing-authorisations-lists-of-granted-licences</w:t>
        </w:r>
      </w:hyperlink>
    </w:p>
    <w:p w14:paraId="4D5D49B0" w14:textId="77777777" w:rsidR="003C7558" w:rsidRDefault="003C7558" w:rsidP="003C7558">
      <w:pPr>
        <w:pStyle w:val="ListParagraph"/>
        <w:pBdr>
          <w:top w:val="single" w:sz="4" w:space="1" w:color="auto"/>
          <w:left w:val="single" w:sz="4" w:space="4" w:color="auto"/>
          <w:bottom w:val="single" w:sz="4" w:space="1" w:color="auto"/>
          <w:right w:val="single" w:sz="4" w:space="4" w:color="auto"/>
        </w:pBdr>
      </w:pPr>
    </w:p>
    <w:p w14:paraId="71A030E7" w14:textId="28C5D30D" w:rsidR="00991DD8" w:rsidRPr="00991DD8" w:rsidRDefault="003C7558" w:rsidP="00D93EE1">
      <w:pPr>
        <w:pStyle w:val="ListParagraph"/>
        <w:pBdr>
          <w:top w:val="single" w:sz="4" w:space="1" w:color="auto"/>
          <w:left w:val="single" w:sz="4" w:space="4" w:color="auto"/>
          <w:bottom w:val="single" w:sz="4" w:space="1" w:color="auto"/>
          <w:right w:val="single" w:sz="4" w:space="4" w:color="auto"/>
        </w:pBdr>
      </w:pPr>
      <w:r>
        <w:t>From a RMM perspective, a</w:t>
      </w:r>
      <w:r w:rsidR="00991DD8" w:rsidRPr="00991DD8">
        <w:t>s per GVP XVI.C.2.2</w:t>
      </w:r>
      <w:r w:rsidR="00135B35">
        <w:t>,</w:t>
      </w:r>
      <w:r w:rsidR="00991DD8" w:rsidRPr="00991DD8">
        <w:t xml:space="preserve"> in the interests of patient safety MAHs are encouraged to collaborate in developing, disseminating, evaluating and adapting RMM materials.  As such a biosimilar MAH would be encouraged to contact the MAH for the reference product. Furthermore</w:t>
      </w:r>
      <w:r w:rsidR="004B5F4E">
        <w:t>,</w:t>
      </w:r>
      <w:r w:rsidR="00991DD8" w:rsidRPr="00991DD8">
        <w:t xml:space="preserve"> MAHs are encouraged to publish materials at </w:t>
      </w:r>
      <w:hyperlink r:id="rId16" w:history="1">
        <w:r w:rsidR="00991DD8" w:rsidRPr="00991DD8">
          <w:rPr>
            <w:rStyle w:val="Hyperlink"/>
          </w:rPr>
          <w:t>Home - electronic medicines compendium (</w:t>
        </w:r>
        <w:proofErr w:type="spellStart"/>
        <w:r w:rsidR="00991DD8" w:rsidRPr="00991DD8">
          <w:rPr>
            <w:rStyle w:val="Hyperlink"/>
          </w:rPr>
          <w:t>emc</w:t>
        </w:r>
        <w:proofErr w:type="spellEnd"/>
        <w:r w:rsidR="00991DD8" w:rsidRPr="00991DD8">
          <w:rPr>
            <w:rStyle w:val="Hyperlink"/>
          </w:rPr>
          <w:t>)</w:t>
        </w:r>
      </w:hyperlink>
      <w:r w:rsidR="00991DD8" w:rsidRPr="00991DD8">
        <w:t xml:space="preserve"> and many MHRA approved materials are available there.</w:t>
      </w:r>
    </w:p>
    <w:p w14:paraId="29811491" w14:textId="77777777" w:rsidR="00991DD8" w:rsidRPr="00864560" w:rsidRDefault="00991DD8" w:rsidP="00D93EE1">
      <w:pPr>
        <w:pStyle w:val="ListParagraph"/>
        <w:pBdr>
          <w:top w:val="single" w:sz="4" w:space="1" w:color="auto"/>
          <w:left w:val="single" w:sz="4" w:space="4" w:color="auto"/>
          <w:bottom w:val="single" w:sz="4" w:space="1" w:color="auto"/>
          <w:right w:val="single" w:sz="4" w:space="4" w:color="auto"/>
        </w:pBdr>
        <w:rPr>
          <w:sz w:val="8"/>
          <w:szCs w:val="8"/>
        </w:rPr>
      </w:pPr>
    </w:p>
    <w:p w14:paraId="57FEC1E3" w14:textId="77777777" w:rsidR="00991DD8" w:rsidRPr="00991DD8" w:rsidRDefault="00991DD8" w:rsidP="00D93EE1">
      <w:pPr>
        <w:pStyle w:val="ListParagraph"/>
        <w:pBdr>
          <w:top w:val="single" w:sz="4" w:space="1" w:color="auto"/>
          <w:left w:val="single" w:sz="4" w:space="4" w:color="auto"/>
          <w:bottom w:val="single" w:sz="4" w:space="1" w:color="auto"/>
          <w:right w:val="single" w:sz="4" w:space="4" w:color="auto"/>
        </w:pBdr>
        <w:rPr>
          <w:i/>
          <w:iCs/>
        </w:rPr>
      </w:pPr>
      <w:r w:rsidRPr="00991DD8">
        <w:rPr>
          <w:i/>
          <w:iCs/>
        </w:rPr>
        <w:t>When several medicinal products containing the same active substance, such as generic, biosimilar and hybrid products, have been authorised and require the same additional RMM, their marketing authorisation holders are encouraged to collaborate for fulfilling the responsibilities applicable to each individual marketing authorisation holder (see XVI.C.2.) through coordination of a consistent approach to developing, disseminating, evaluating and adapting RMM materials. Without prejudice to the originality of the format of a RMM material, it is in the interest of patient safety that RMM materials disseminated by different marketing authorisation holders for the same active substance should be kept consistent and as similar as possible, to avoid confusion in the target population. </w:t>
      </w:r>
    </w:p>
    <w:p w14:paraId="65C029CB" w14:textId="6DA31B2E" w:rsidR="006F16E6" w:rsidRDefault="006F16E6" w:rsidP="006F16E6">
      <w:pPr>
        <w:pStyle w:val="ListParagraph"/>
      </w:pPr>
    </w:p>
    <w:p w14:paraId="2F822DD3" w14:textId="31629320" w:rsidR="7567F167" w:rsidRDefault="7567F167" w:rsidP="7567F167">
      <w:pPr>
        <w:pStyle w:val="ListParagraph"/>
      </w:pPr>
    </w:p>
    <w:p w14:paraId="4BDFF354" w14:textId="77E74BD6" w:rsidR="00CD212B" w:rsidRPr="00563981" w:rsidRDefault="00CD212B" w:rsidP="00EF2634">
      <w:pPr>
        <w:pStyle w:val="ListParagraph"/>
        <w:numPr>
          <w:ilvl w:val="0"/>
          <w:numId w:val="2"/>
        </w:numPr>
        <w:rPr>
          <w:b/>
          <w:bCs/>
          <w:color w:val="FF4900"/>
        </w:rPr>
      </w:pPr>
      <w:r w:rsidRPr="00563981">
        <w:rPr>
          <w:b/>
          <w:bCs/>
          <w:color w:val="FF4900"/>
        </w:rPr>
        <w:t>When distribution of additional Risk Management Materials is required, does MHRA support a coordinated work sharing approach?</w:t>
      </w:r>
    </w:p>
    <w:p w14:paraId="05B4E53A" w14:textId="7859FCF5" w:rsidR="00CD212B" w:rsidRDefault="00CD212B" w:rsidP="006F16E6">
      <w:pPr>
        <w:pStyle w:val="ListParagraph"/>
      </w:pPr>
    </w:p>
    <w:p w14:paraId="2A305C0A" w14:textId="6E2AEB94" w:rsidR="00CC3C10" w:rsidRPr="00CC3C10" w:rsidRDefault="001E3842" w:rsidP="00A22EC5">
      <w:pPr>
        <w:pStyle w:val="ListParagraph"/>
        <w:pBdr>
          <w:top w:val="single" w:sz="4" w:space="1" w:color="auto"/>
          <w:left w:val="single" w:sz="4" w:space="4" w:color="auto"/>
          <w:bottom w:val="single" w:sz="4" w:space="1" w:color="auto"/>
          <w:right w:val="single" w:sz="4" w:space="4" w:color="auto"/>
        </w:pBdr>
      </w:pPr>
      <w:r>
        <w:t>MHRA</w:t>
      </w:r>
      <w:r w:rsidR="00CC3C10" w:rsidRPr="00CC3C10">
        <w:t xml:space="preserve"> </w:t>
      </w:r>
      <w:r w:rsidR="0055255C" w:rsidRPr="00CC3C10">
        <w:t>encourage</w:t>
      </w:r>
      <w:r w:rsidR="0055255C">
        <w:t xml:space="preserve">s </w:t>
      </w:r>
      <w:r w:rsidR="00CC3C10" w:rsidRPr="00CC3C10">
        <w:t>a coordinated work</w:t>
      </w:r>
      <w:r w:rsidR="00FA4CB7">
        <w:t>-</w:t>
      </w:r>
      <w:r w:rsidR="00CC3C10" w:rsidRPr="00CC3C10">
        <w:t>sharing approach</w:t>
      </w:r>
      <w:r w:rsidR="00FE28FC">
        <w:t>.</w:t>
      </w:r>
      <w:r w:rsidR="00CC3C10" w:rsidRPr="00CC3C10">
        <w:t xml:space="preserve"> </w:t>
      </w:r>
    </w:p>
    <w:p w14:paraId="68B6FC5B" w14:textId="77777777" w:rsidR="00CD212B" w:rsidRPr="00CD212B" w:rsidRDefault="00CD212B" w:rsidP="006F16E6">
      <w:pPr>
        <w:pStyle w:val="ListParagraph"/>
      </w:pPr>
    </w:p>
    <w:sectPr w:rsidR="00CD212B" w:rsidRPr="00CD212B">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C7318" w14:textId="77777777" w:rsidR="001076E3" w:rsidRDefault="001076E3" w:rsidP="00847C40">
      <w:pPr>
        <w:spacing w:after="0" w:line="240" w:lineRule="auto"/>
      </w:pPr>
      <w:r>
        <w:separator/>
      </w:r>
    </w:p>
  </w:endnote>
  <w:endnote w:type="continuationSeparator" w:id="0">
    <w:p w14:paraId="70B8108E" w14:textId="77777777" w:rsidR="001076E3" w:rsidRDefault="001076E3" w:rsidP="00847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238EB" w14:textId="77777777" w:rsidR="001076E3" w:rsidRDefault="001076E3" w:rsidP="00847C40">
      <w:pPr>
        <w:spacing w:after="0" w:line="240" w:lineRule="auto"/>
      </w:pPr>
      <w:r>
        <w:separator/>
      </w:r>
    </w:p>
  </w:footnote>
  <w:footnote w:type="continuationSeparator" w:id="0">
    <w:p w14:paraId="060EBB4C" w14:textId="77777777" w:rsidR="001076E3" w:rsidRDefault="001076E3" w:rsidP="00847C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6F37" w14:textId="4CC988A8" w:rsidR="00847C40" w:rsidRDefault="00847C40" w:rsidP="00847C40">
    <w:pPr>
      <w:pStyle w:val="Header"/>
    </w:pPr>
    <w:r>
      <w:rPr>
        <w:noProof/>
      </w:rPr>
      <w:drawing>
        <wp:inline distT="0" distB="0" distL="0" distR="0" wp14:anchorId="0758330D" wp14:editId="750B61DE">
          <wp:extent cx="1842017" cy="660400"/>
          <wp:effectExtent l="0" t="0" r="6350" b="6350"/>
          <wp:docPr id="11327368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736841" name="Picture 1132736841"/>
                  <pic:cNvPicPr/>
                </pic:nvPicPr>
                <pic:blipFill>
                  <a:blip r:embed="rId1">
                    <a:extLst>
                      <a:ext uri="{28A0092B-C50C-407E-A947-70E740481C1C}">
                        <a14:useLocalDpi xmlns:a14="http://schemas.microsoft.com/office/drawing/2010/main" val="0"/>
                      </a:ext>
                    </a:extLst>
                  </a:blip>
                  <a:stretch>
                    <a:fillRect/>
                  </a:stretch>
                </pic:blipFill>
                <pic:spPr>
                  <a:xfrm>
                    <a:off x="0" y="0"/>
                    <a:ext cx="1872078" cy="671178"/>
                  </a:xfrm>
                  <a:prstGeom prst="rect">
                    <a:avLst/>
                  </a:prstGeom>
                </pic:spPr>
              </pic:pic>
            </a:graphicData>
          </a:graphic>
        </wp:inline>
      </w:drawing>
    </w:r>
    <w:r>
      <w:rPr>
        <w:noProof/>
      </w:rPr>
      <w:t xml:space="preserve">                                                                             </w:t>
    </w:r>
    <w:r>
      <w:rPr>
        <w:noProof/>
      </w:rPr>
      <w:drawing>
        <wp:inline distT="0" distB="0" distL="0" distR="0" wp14:anchorId="662593BD" wp14:editId="024941FC">
          <wp:extent cx="1479550" cy="986367"/>
          <wp:effectExtent l="0" t="0" r="6350" b="0"/>
          <wp:docPr id="738427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27479" name="Picture 738427479"/>
                  <pic:cNvPicPr/>
                </pic:nvPicPr>
                <pic:blipFill>
                  <a:blip r:embed="rId2">
                    <a:extLst>
                      <a:ext uri="{28A0092B-C50C-407E-A947-70E740481C1C}">
                        <a14:useLocalDpi xmlns:a14="http://schemas.microsoft.com/office/drawing/2010/main" val="0"/>
                      </a:ext>
                    </a:extLst>
                  </a:blip>
                  <a:stretch>
                    <a:fillRect/>
                  </a:stretch>
                </pic:blipFill>
                <pic:spPr>
                  <a:xfrm>
                    <a:off x="0" y="0"/>
                    <a:ext cx="1487304" cy="99153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C2CF2"/>
    <w:multiLevelType w:val="hybridMultilevel"/>
    <w:tmpl w:val="C81EC6DC"/>
    <w:lvl w:ilvl="0" w:tplc="08090001">
      <w:start w:val="1"/>
      <w:numFmt w:val="bullet"/>
      <w:lvlText w:val=""/>
      <w:lvlJc w:val="left"/>
      <w:pPr>
        <w:ind w:left="720" w:hanging="360"/>
      </w:pPr>
      <w:rPr>
        <w:rFonts w:ascii="Symbol" w:hAnsi="Symbol" w:hint="default"/>
      </w:rPr>
    </w:lvl>
    <w:lvl w:ilvl="1" w:tplc="93A49534">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6043F0"/>
    <w:multiLevelType w:val="hybridMultilevel"/>
    <w:tmpl w:val="14EC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A616A7"/>
    <w:multiLevelType w:val="hybridMultilevel"/>
    <w:tmpl w:val="E9F86D06"/>
    <w:lvl w:ilvl="0" w:tplc="605638F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0488941">
    <w:abstractNumId w:val="0"/>
  </w:num>
  <w:num w:numId="2" w16cid:durableId="392890724">
    <w:abstractNumId w:val="1"/>
  </w:num>
  <w:num w:numId="3" w16cid:durableId="6342149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8B1"/>
    <w:rsid w:val="000049B8"/>
    <w:rsid w:val="00011B99"/>
    <w:rsid w:val="000146D5"/>
    <w:rsid w:val="00017899"/>
    <w:rsid w:val="00025E85"/>
    <w:rsid w:val="0006259D"/>
    <w:rsid w:val="00064711"/>
    <w:rsid w:val="0007361A"/>
    <w:rsid w:val="000C421E"/>
    <w:rsid w:val="000D2846"/>
    <w:rsid w:val="000E18EC"/>
    <w:rsid w:val="000E23A0"/>
    <w:rsid w:val="000F7844"/>
    <w:rsid w:val="00102988"/>
    <w:rsid w:val="0010521B"/>
    <w:rsid w:val="001076E3"/>
    <w:rsid w:val="00126E53"/>
    <w:rsid w:val="00127F41"/>
    <w:rsid w:val="00131B3F"/>
    <w:rsid w:val="00135095"/>
    <w:rsid w:val="00135B35"/>
    <w:rsid w:val="001378B1"/>
    <w:rsid w:val="00154390"/>
    <w:rsid w:val="00171072"/>
    <w:rsid w:val="001716F5"/>
    <w:rsid w:val="00172985"/>
    <w:rsid w:val="001733B7"/>
    <w:rsid w:val="001755E7"/>
    <w:rsid w:val="00175C26"/>
    <w:rsid w:val="001832E0"/>
    <w:rsid w:val="00184E4D"/>
    <w:rsid w:val="00185FCF"/>
    <w:rsid w:val="001974F3"/>
    <w:rsid w:val="001B22AD"/>
    <w:rsid w:val="001B7B77"/>
    <w:rsid w:val="001E3842"/>
    <w:rsid w:val="001F7782"/>
    <w:rsid w:val="002044C4"/>
    <w:rsid w:val="002055BC"/>
    <w:rsid w:val="00230846"/>
    <w:rsid w:val="0023726A"/>
    <w:rsid w:val="0026087D"/>
    <w:rsid w:val="00270291"/>
    <w:rsid w:val="00274EA0"/>
    <w:rsid w:val="00277754"/>
    <w:rsid w:val="002940A9"/>
    <w:rsid w:val="002B0671"/>
    <w:rsid w:val="002C5D33"/>
    <w:rsid w:val="002E3ABA"/>
    <w:rsid w:val="002E7617"/>
    <w:rsid w:val="0030232D"/>
    <w:rsid w:val="003054EB"/>
    <w:rsid w:val="003129B4"/>
    <w:rsid w:val="00323BA9"/>
    <w:rsid w:val="0035318B"/>
    <w:rsid w:val="00355851"/>
    <w:rsid w:val="0036692E"/>
    <w:rsid w:val="0037457D"/>
    <w:rsid w:val="0039185F"/>
    <w:rsid w:val="003A03BC"/>
    <w:rsid w:val="003A17E8"/>
    <w:rsid w:val="003A7FD9"/>
    <w:rsid w:val="003C6723"/>
    <w:rsid w:val="003C6E06"/>
    <w:rsid w:val="003C7558"/>
    <w:rsid w:val="003D204E"/>
    <w:rsid w:val="003E5DB9"/>
    <w:rsid w:val="003F7E10"/>
    <w:rsid w:val="00400A6A"/>
    <w:rsid w:val="00411552"/>
    <w:rsid w:val="00411AB4"/>
    <w:rsid w:val="00414B66"/>
    <w:rsid w:val="00423188"/>
    <w:rsid w:val="0044614B"/>
    <w:rsid w:val="0044758C"/>
    <w:rsid w:val="0046763C"/>
    <w:rsid w:val="004772B2"/>
    <w:rsid w:val="004950CB"/>
    <w:rsid w:val="00495163"/>
    <w:rsid w:val="004B35DB"/>
    <w:rsid w:val="004B5F4E"/>
    <w:rsid w:val="004C2B83"/>
    <w:rsid w:val="004D3120"/>
    <w:rsid w:val="004E4781"/>
    <w:rsid w:val="004E70BE"/>
    <w:rsid w:val="004F0342"/>
    <w:rsid w:val="00500A4D"/>
    <w:rsid w:val="00501FA9"/>
    <w:rsid w:val="00511866"/>
    <w:rsid w:val="00516F3B"/>
    <w:rsid w:val="0051704A"/>
    <w:rsid w:val="005204C4"/>
    <w:rsid w:val="00533548"/>
    <w:rsid w:val="00535DD7"/>
    <w:rsid w:val="0055255C"/>
    <w:rsid w:val="00563981"/>
    <w:rsid w:val="00573C93"/>
    <w:rsid w:val="00576CFE"/>
    <w:rsid w:val="00591E42"/>
    <w:rsid w:val="00593D44"/>
    <w:rsid w:val="005A12D0"/>
    <w:rsid w:val="005A6F4B"/>
    <w:rsid w:val="005B1B9F"/>
    <w:rsid w:val="005B20D2"/>
    <w:rsid w:val="005C5A59"/>
    <w:rsid w:val="005D4C97"/>
    <w:rsid w:val="005D5E81"/>
    <w:rsid w:val="005E3ACB"/>
    <w:rsid w:val="005F0D17"/>
    <w:rsid w:val="00617D5F"/>
    <w:rsid w:val="00627DCD"/>
    <w:rsid w:val="00632D48"/>
    <w:rsid w:val="0064537B"/>
    <w:rsid w:val="00651E56"/>
    <w:rsid w:val="00654B59"/>
    <w:rsid w:val="00656CAB"/>
    <w:rsid w:val="00657144"/>
    <w:rsid w:val="00670DB0"/>
    <w:rsid w:val="006748B3"/>
    <w:rsid w:val="00687FF7"/>
    <w:rsid w:val="006A51DE"/>
    <w:rsid w:val="006B2E3A"/>
    <w:rsid w:val="006B4676"/>
    <w:rsid w:val="006B534E"/>
    <w:rsid w:val="006D41BD"/>
    <w:rsid w:val="006D5C7A"/>
    <w:rsid w:val="006F16E6"/>
    <w:rsid w:val="007016FD"/>
    <w:rsid w:val="00717CC7"/>
    <w:rsid w:val="0072481F"/>
    <w:rsid w:val="00730825"/>
    <w:rsid w:val="0073104A"/>
    <w:rsid w:val="00731452"/>
    <w:rsid w:val="00731BEA"/>
    <w:rsid w:val="007500CF"/>
    <w:rsid w:val="0075717F"/>
    <w:rsid w:val="00762148"/>
    <w:rsid w:val="00776497"/>
    <w:rsid w:val="007928E3"/>
    <w:rsid w:val="007A47D2"/>
    <w:rsid w:val="007B2E36"/>
    <w:rsid w:val="007D73C7"/>
    <w:rsid w:val="007F6338"/>
    <w:rsid w:val="007F686D"/>
    <w:rsid w:val="00801440"/>
    <w:rsid w:val="00812251"/>
    <w:rsid w:val="00835761"/>
    <w:rsid w:val="0084021C"/>
    <w:rsid w:val="00840CF1"/>
    <w:rsid w:val="00844A79"/>
    <w:rsid w:val="00847C40"/>
    <w:rsid w:val="00864560"/>
    <w:rsid w:val="00877B8B"/>
    <w:rsid w:val="008B5D86"/>
    <w:rsid w:val="008D64ED"/>
    <w:rsid w:val="008E6582"/>
    <w:rsid w:val="0090433C"/>
    <w:rsid w:val="00906982"/>
    <w:rsid w:val="009268BE"/>
    <w:rsid w:val="00933A93"/>
    <w:rsid w:val="009344CC"/>
    <w:rsid w:val="00943B06"/>
    <w:rsid w:val="009473FF"/>
    <w:rsid w:val="00951B6B"/>
    <w:rsid w:val="00953C40"/>
    <w:rsid w:val="00965ACF"/>
    <w:rsid w:val="00966821"/>
    <w:rsid w:val="00972563"/>
    <w:rsid w:val="0097487F"/>
    <w:rsid w:val="00975168"/>
    <w:rsid w:val="00990945"/>
    <w:rsid w:val="00991DD8"/>
    <w:rsid w:val="009A4F4D"/>
    <w:rsid w:val="009C3774"/>
    <w:rsid w:val="009D098C"/>
    <w:rsid w:val="009E52EF"/>
    <w:rsid w:val="009E5DC1"/>
    <w:rsid w:val="009F4FDE"/>
    <w:rsid w:val="00A22EC5"/>
    <w:rsid w:val="00A52B58"/>
    <w:rsid w:val="00A609F6"/>
    <w:rsid w:val="00A62636"/>
    <w:rsid w:val="00A67284"/>
    <w:rsid w:val="00A86365"/>
    <w:rsid w:val="00A86ABC"/>
    <w:rsid w:val="00A870DD"/>
    <w:rsid w:val="00A917B0"/>
    <w:rsid w:val="00A96093"/>
    <w:rsid w:val="00AE7F28"/>
    <w:rsid w:val="00B07C52"/>
    <w:rsid w:val="00B07E53"/>
    <w:rsid w:val="00B10737"/>
    <w:rsid w:val="00B37264"/>
    <w:rsid w:val="00B46161"/>
    <w:rsid w:val="00B51D41"/>
    <w:rsid w:val="00B80C2E"/>
    <w:rsid w:val="00B842AE"/>
    <w:rsid w:val="00B924DD"/>
    <w:rsid w:val="00B93D5C"/>
    <w:rsid w:val="00BA2CED"/>
    <w:rsid w:val="00BB7ED6"/>
    <w:rsid w:val="00BC5566"/>
    <w:rsid w:val="00BD26A0"/>
    <w:rsid w:val="00BE385B"/>
    <w:rsid w:val="00C06B1F"/>
    <w:rsid w:val="00C12E98"/>
    <w:rsid w:val="00C1301B"/>
    <w:rsid w:val="00C17FB0"/>
    <w:rsid w:val="00C208C4"/>
    <w:rsid w:val="00C2281D"/>
    <w:rsid w:val="00C4116A"/>
    <w:rsid w:val="00C52103"/>
    <w:rsid w:val="00C55D39"/>
    <w:rsid w:val="00C62091"/>
    <w:rsid w:val="00C6491A"/>
    <w:rsid w:val="00C738DB"/>
    <w:rsid w:val="00C762A9"/>
    <w:rsid w:val="00C77C5A"/>
    <w:rsid w:val="00C832F8"/>
    <w:rsid w:val="00CA1EDE"/>
    <w:rsid w:val="00CA2C94"/>
    <w:rsid w:val="00CB3533"/>
    <w:rsid w:val="00CB5D12"/>
    <w:rsid w:val="00CC2210"/>
    <w:rsid w:val="00CC3C10"/>
    <w:rsid w:val="00CC3FD7"/>
    <w:rsid w:val="00CD212B"/>
    <w:rsid w:val="00CF6F7E"/>
    <w:rsid w:val="00D018EF"/>
    <w:rsid w:val="00D0795A"/>
    <w:rsid w:val="00D13F01"/>
    <w:rsid w:val="00D204AF"/>
    <w:rsid w:val="00D2465A"/>
    <w:rsid w:val="00D7361E"/>
    <w:rsid w:val="00D93CF3"/>
    <w:rsid w:val="00D93EE1"/>
    <w:rsid w:val="00DC059B"/>
    <w:rsid w:val="00DC4737"/>
    <w:rsid w:val="00DD701F"/>
    <w:rsid w:val="00E00FEB"/>
    <w:rsid w:val="00E03AF9"/>
    <w:rsid w:val="00E16C0F"/>
    <w:rsid w:val="00E30D01"/>
    <w:rsid w:val="00E31668"/>
    <w:rsid w:val="00E37D78"/>
    <w:rsid w:val="00E43713"/>
    <w:rsid w:val="00E55B81"/>
    <w:rsid w:val="00E55D94"/>
    <w:rsid w:val="00E95337"/>
    <w:rsid w:val="00EC5F8C"/>
    <w:rsid w:val="00EF2634"/>
    <w:rsid w:val="00EF5BFE"/>
    <w:rsid w:val="00F04D2F"/>
    <w:rsid w:val="00F16DBA"/>
    <w:rsid w:val="00F17408"/>
    <w:rsid w:val="00F24F55"/>
    <w:rsid w:val="00F32B9C"/>
    <w:rsid w:val="00F54AF8"/>
    <w:rsid w:val="00F57BFA"/>
    <w:rsid w:val="00F71B4C"/>
    <w:rsid w:val="00F72B42"/>
    <w:rsid w:val="00F73F42"/>
    <w:rsid w:val="00F81536"/>
    <w:rsid w:val="00FA4CB7"/>
    <w:rsid w:val="00FA695C"/>
    <w:rsid w:val="00FA752D"/>
    <w:rsid w:val="00FA7556"/>
    <w:rsid w:val="00FD7FE1"/>
    <w:rsid w:val="00FE28FC"/>
    <w:rsid w:val="00FE541C"/>
    <w:rsid w:val="00FF6189"/>
    <w:rsid w:val="00FF6527"/>
    <w:rsid w:val="0116D5B4"/>
    <w:rsid w:val="01F95E0C"/>
    <w:rsid w:val="05604E64"/>
    <w:rsid w:val="06BC427E"/>
    <w:rsid w:val="07BBC92F"/>
    <w:rsid w:val="0DE04230"/>
    <w:rsid w:val="0EA35838"/>
    <w:rsid w:val="0FAADF87"/>
    <w:rsid w:val="10B4C7D6"/>
    <w:rsid w:val="11FB0D74"/>
    <w:rsid w:val="1426778B"/>
    <w:rsid w:val="150A59F3"/>
    <w:rsid w:val="15CC1978"/>
    <w:rsid w:val="15D0D9FA"/>
    <w:rsid w:val="16B658A2"/>
    <w:rsid w:val="16C3A1E3"/>
    <w:rsid w:val="18E04AC8"/>
    <w:rsid w:val="18E6F861"/>
    <w:rsid w:val="1A4576E0"/>
    <w:rsid w:val="1DF6D62E"/>
    <w:rsid w:val="21661DF3"/>
    <w:rsid w:val="23850E6F"/>
    <w:rsid w:val="2393B277"/>
    <w:rsid w:val="24091D94"/>
    <w:rsid w:val="2497F0D4"/>
    <w:rsid w:val="2602F0CE"/>
    <w:rsid w:val="26B3A902"/>
    <w:rsid w:val="2786693A"/>
    <w:rsid w:val="28222DF9"/>
    <w:rsid w:val="28DD09D3"/>
    <w:rsid w:val="2A1EA8A5"/>
    <w:rsid w:val="2AAF8FA7"/>
    <w:rsid w:val="2AE3901B"/>
    <w:rsid w:val="2CF06649"/>
    <w:rsid w:val="2D7DBA61"/>
    <w:rsid w:val="2EE5BEE6"/>
    <w:rsid w:val="3247609F"/>
    <w:rsid w:val="32E181FF"/>
    <w:rsid w:val="333C5D6D"/>
    <w:rsid w:val="34A3470A"/>
    <w:rsid w:val="35F33585"/>
    <w:rsid w:val="376A6A90"/>
    <w:rsid w:val="379F3001"/>
    <w:rsid w:val="38E06D64"/>
    <w:rsid w:val="39E99EA1"/>
    <w:rsid w:val="3BB45107"/>
    <w:rsid w:val="3C2EDB72"/>
    <w:rsid w:val="3C513185"/>
    <w:rsid w:val="3D6BC3EA"/>
    <w:rsid w:val="3ED5C96C"/>
    <w:rsid w:val="4144C1D9"/>
    <w:rsid w:val="441DDFC7"/>
    <w:rsid w:val="4540856A"/>
    <w:rsid w:val="46B12CA1"/>
    <w:rsid w:val="48CCFDBA"/>
    <w:rsid w:val="4DD53E69"/>
    <w:rsid w:val="4E2C742E"/>
    <w:rsid w:val="4E38FC90"/>
    <w:rsid w:val="4EC97E50"/>
    <w:rsid w:val="4FBA80CA"/>
    <w:rsid w:val="5009C98D"/>
    <w:rsid w:val="5066AF12"/>
    <w:rsid w:val="52062E0B"/>
    <w:rsid w:val="5258246F"/>
    <w:rsid w:val="5343AA0B"/>
    <w:rsid w:val="56A3CC65"/>
    <w:rsid w:val="5833DC7D"/>
    <w:rsid w:val="58640C61"/>
    <w:rsid w:val="588993D8"/>
    <w:rsid w:val="590F80CB"/>
    <w:rsid w:val="5B21C254"/>
    <w:rsid w:val="5B6CD522"/>
    <w:rsid w:val="5BB803BD"/>
    <w:rsid w:val="5BC9907E"/>
    <w:rsid w:val="6113CF5F"/>
    <w:rsid w:val="613A84FB"/>
    <w:rsid w:val="62F63BEF"/>
    <w:rsid w:val="66D80EA5"/>
    <w:rsid w:val="68C0230A"/>
    <w:rsid w:val="690F1F02"/>
    <w:rsid w:val="69E6850D"/>
    <w:rsid w:val="6D22F8B9"/>
    <w:rsid w:val="6F05F809"/>
    <w:rsid w:val="7174B33F"/>
    <w:rsid w:val="71DF73B5"/>
    <w:rsid w:val="724F30C8"/>
    <w:rsid w:val="7255333D"/>
    <w:rsid w:val="7567F167"/>
    <w:rsid w:val="786254D0"/>
    <w:rsid w:val="79608BF6"/>
    <w:rsid w:val="7AB58645"/>
    <w:rsid w:val="7D100A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89B0C"/>
  <w15:chartTrackingRefBased/>
  <w15:docId w15:val="{A4392A9E-B96D-4657-96D4-22E1041D1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8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8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8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8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8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8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8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8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8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8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8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8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8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8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8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8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8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8B1"/>
    <w:rPr>
      <w:rFonts w:eastAsiaTheme="majorEastAsia" w:cstheme="majorBidi"/>
      <w:color w:val="272727" w:themeColor="text1" w:themeTint="D8"/>
    </w:rPr>
  </w:style>
  <w:style w:type="paragraph" w:styleId="Title">
    <w:name w:val="Title"/>
    <w:basedOn w:val="Normal"/>
    <w:next w:val="Normal"/>
    <w:link w:val="TitleChar"/>
    <w:uiPriority w:val="10"/>
    <w:qFormat/>
    <w:rsid w:val="001378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8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8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8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8B1"/>
    <w:pPr>
      <w:spacing w:before="160"/>
      <w:jc w:val="center"/>
    </w:pPr>
    <w:rPr>
      <w:i/>
      <w:iCs/>
      <w:color w:val="404040" w:themeColor="text1" w:themeTint="BF"/>
    </w:rPr>
  </w:style>
  <w:style w:type="character" w:customStyle="1" w:styleId="QuoteChar">
    <w:name w:val="Quote Char"/>
    <w:basedOn w:val="DefaultParagraphFont"/>
    <w:link w:val="Quote"/>
    <w:uiPriority w:val="29"/>
    <w:rsid w:val="001378B1"/>
    <w:rPr>
      <w:i/>
      <w:iCs/>
      <w:color w:val="404040" w:themeColor="text1" w:themeTint="BF"/>
    </w:rPr>
  </w:style>
  <w:style w:type="paragraph" w:styleId="ListParagraph">
    <w:name w:val="List Paragraph"/>
    <w:basedOn w:val="Normal"/>
    <w:uiPriority w:val="34"/>
    <w:qFormat/>
    <w:rsid w:val="001378B1"/>
    <w:pPr>
      <w:ind w:left="720"/>
      <w:contextualSpacing/>
    </w:pPr>
  </w:style>
  <w:style w:type="character" w:styleId="IntenseEmphasis">
    <w:name w:val="Intense Emphasis"/>
    <w:basedOn w:val="DefaultParagraphFont"/>
    <w:uiPriority w:val="21"/>
    <w:qFormat/>
    <w:rsid w:val="001378B1"/>
    <w:rPr>
      <w:i/>
      <w:iCs/>
      <w:color w:val="0F4761" w:themeColor="accent1" w:themeShade="BF"/>
    </w:rPr>
  </w:style>
  <w:style w:type="paragraph" w:styleId="IntenseQuote">
    <w:name w:val="Intense Quote"/>
    <w:basedOn w:val="Normal"/>
    <w:next w:val="Normal"/>
    <w:link w:val="IntenseQuoteChar"/>
    <w:uiPriority w:val="30"/>
    <w:qFormat/>
    <w:rsid w:val="001378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8B1"/>
    <w:rPr>
      <w:i/>
      <w:iCs/>
      <w:color w:val="0F4761" w:themeColor="accent1" w:themeShade="BF"/>
    </w:rPr>
  </w:style>
  <w:style w:type="character" w:styleId="IntenseReference">
    <w:name w:val="Intense Reference"/>
    <w:basedOn w:val="DefaultParagraphFont"/>
    <w:uiPriority w:val="32"/>
    <w:qFormat/>
    <w:rsid w:val="001378B1"/>
    <w:rPr>
      <w:b/>
      <w:bCs/>
      <w:smallCaps/>
      <w:color w:val="0F4761" w:themeColor="accent1" w:themeShade="BF"/>
      <w:spacing w:val="5"/>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812251"/>
    <w:rPr>
      <w:color w:val="467886" w:themeColor="hyperlink"/>
      <w:u w:val="single"/>
    </w:rPr>
  </w:style>
  <w:style w:type="character" w:styleId="UnresolvedMention">
    <w:name w:val="Unresolved Mention"/>
    <w:basedOn w:val="DefaultParagraphFont"/>
    <w:uiPriority w:val="99"/>
    <w:semiHidden/>
    <w:unhideWhenUsed/>
    <w:rsid w:val="00812251"/>
    <w:rPr>
      <w:color w:val="605E5C"/>
      <w:shd w:val="clear" w:color="auto" w:fill="E1DFDD"/>
    </w:rPr>
  </w:style>
  <w:style w:type="paragraph" w:styleId="NormalWeb">
    <w:name w:val="Normal (Web)"/>
    <w:basedOn w:val="Normal"/>
    <w:uiPriority w:val="99"/>
    <w:semiHidden/>
    <w:unhideWhenUsed/>
    <w:rsid w:val="00F1740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Revision">
    <w:name w:val="Revision"/>
    <w:hidden/>
    <w:uiPriority w:val="99"/>
    <w:semiHidden/>
    <w:rsid w:val="00CA2C94"/>
    <w:pPr>
      <w:spacing w:after="0" w:line="240" w:lineRule="auto"/>
    </w:pPr>
  </w:style>
  <w:style w:type="paragraph" w:styleId="Header">
    <w:name w:val="header"/>
    <w:basedOn w:val="Normal"/>
    <w:link w:val="HeaderChar"/>
    <w:uiPriority w:val="99"/>
    <w:unhideWhenUsed/>
    <w:rsid w:val="00847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C40"/>
  </w:style>
  <w:style w:type="paragraph" w:styleId="Footer">
    <w:name w:val="footer"/>
    <w:basedOn w:val="Normal"/>
    <w:link w:val="FooterChar"/>
    <w:uiPriority w:val="99"/>
    <w:unhideWhenUsed/>
    <w:rsid w:val="00847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international-recognition-procedure/international-recognition-procedur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re-submission-advice-suppor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ur01.safelinks.protection.outlook.com/?url=https%3A%2F%2Fwww.medicines.org.uk%2Femc&amp;data=05%7C02%7CAnne.Cook%40mhra.gov.uk%7C6231c1c830b64761a66b08de7584d5e3%7Ce527ea5c62584cd2a27f8bd237ec4c26%7C0%7C0%7C639077410546092789%7CUnknown%7CTWFpbGZsb3d8eyJFbXB0eU1hcGkiOnRydWUsIlYiOiIwLjAuMDAwMCIsIlAiOiJXaW4zMiIsIkFOIjoiTWFpbCIsIldUIjoyfQ%3D%3D%7C0%7C%7C%7C&amp;sdata=bcFpr1TIfobTiHD3skXWjyp5UkZPhevHxNg5Wj83hyc%3D&amp;reserved=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medicines-get-scientific-advice-from-mhra" TargetMode="External"/><Relationship Id="rId5" Type="http://schemas.openxmlformats.org/officeDocument/2006/relationships/styles" Target="styles.xml"/><Relationship Id="rId15" Type="http://schemas.openxmlformats.org/officeDocument/2006/relationships/hyperlink" Target="https://www.gov.uk/government/collections/marketing-authorisations-lists-of-granted-licences" TargetMode="External"/><Relationship Id="rId10" Type="http://schemas.openxmlformats.org/officeDocument/2006/relationships/hyperlink" Target="https://www.gov.uk/guidance/medicines-get-scientific-advice-from-mhra"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roducts.mhra.gov.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1417831C433D43906D4EEBC1E8C126" ma:contentTypeVersion="19" ma:contentTypeDescription="Create a new document." ma:contentTypeScope="" ma:versionID="428ef6a872606a9e29fae15600c57c01">
  <xsd:schema xmlns:xsd="http://www.w3.org/2001/XMLSchema" xmlns:xs="http://www.w3.org/2001/XMLSchema" xmlns:p="http://schemas.microsoft.com/office/2006/metadata/properties" xmlns:ns2="4cf9abc6-c769-464a-a082-61afb7671d51" xmlns:ns3="bbb1cdd1-cf5a-48b9-b14b-3d868fa48288" targetNamespace="http://schemas.microsoft.com/office/2006/metadata/properties" ma:root="true" ma:fieldsID="9d065debb53c9ec0ffe223c7fdb3a7d6" ns2:_="" ns3:_="">
    <xsd:import namespace="4cf9abc6-c769-464a-a082-61afb7671d51"/>
    <xsd:import namespace="bbb1cdd1-cf5a-48b9-b14b-3d868fa48288"/>
    <xsd:element name="properties">
      <xsd:complexType>
        <xsd:sequence>
          <xsd:element name="documentManagement">
            <xsd:complexType>
              <xsd:all>
                <xsd:element ref="ns2:Review_x0020_Date" minOccurs="0"/>
                <xsd:element ref="ns3:SharedWithUsers" minOccurs="0"/>
                <xsd:element ref="ns3:SharedWithDetails"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_ip_UnifiedCompliancePolicyProperties" minOccurs="0"/>
                <xsd:element ref="ns3:_ip_UnifiedCompliancePolicyUIAc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f9abc6-c769-464a-a082-61afb7671d51" elementFormDefault="qualified">
    <xsd:import namespace="http://schemas.microsoft.com/office/2006/documentManagement/types"/>
    <xsd:import namespace="http://schemas.microsoft.com/office/infopath/2007/PartnerControls"/>
    <xsd:element name="Review_x0020_Date" ma:index="5" nillable="true" ma:displayName="Review date" ma:indexed="true" ma:internalName="Review_x0020_Date" ma:readOnly="false">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1cdd1-cf5a-48b9-b14b-3d868fa48288" elementFormDefault="qualified">
    <xsd:import namespace="http://schemas.microsoft.com/office/2006/documentManagement/types"/>
    <xsd:import namespace="http://schemas.microsoft.com/office/infopath/2007/PartnerControls"/>
    <xsd:element name="SharedWithUsers" ma:index="9"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3" nillable="true" ma:displayName="Taxonomy Catch All Column" ma:hidden="true" ma:list="{b87fcb59-3518-4cc0-ba6a-4520f0c3fe3b}" ma:internalName="TaxCatchAll" ma:showField="CatchAllData" ma:web="bbb1cdd1-cf5a-48b9-b14b-3d868fa482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cf9abc6-c769-464a-a082-61afb7671d51">
      <Terms xmlns="http://schemas.microsoft.com/office/infopath/2007/PartnerControls"/>
    </lcf76f155ced4ddcb4097134ff3c332f>
    <TaxCatchAll xmlns="bbb1cdd1-cf5a-48b9-b14b-3d868fa48288" xsi:nil="true"/>
    <Review_x0020_Date xmlns="4cf9abc6-c769-464a-a082-61afb7671d51" xsi:nil="true"/>
    <_ip_UnifiedCompliancePolicyUIAction xmlns="bbb1cdd1-cf5a-48b9-b14b-3d868fa48288" xsi:nil="true"/>
    <_ip_UnifiedCompliancePolicyProperties xmlns="bbb1cdd1-cf5a-48b9-b14b-3d868fa48288" xsi:nil="true"/>
  </documentManagement>
</p:properties>
</file>

<file path=customXml/itemProps1.xml><?xml version="1.0" encoding="utf-8"?>
<ds:datastoreItem xmlns:ds="http://schemas.openxmlformats.org/officeDocument/2006/customXml" ds:itemID="{EC4AFBF6-58BD-4D65-98DC-B35435CC6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f9abc6-c769-464a-a082-61afb7671d51"/>
    <ds:schemaRef ds:uri="bbb1cdd1-cf5a-48b9-b14b-3d868fa482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801F1A-F072-451B-B058-4F5A542BE532}">
  <ds:schemaRefs>
    <ds:schemaRef ds:uri="http://schemas.microsoft.com/sharepoint/v3/contenttype/forms"/>
  </ds:schemaRefs>
</ds:datastoreItem>
</file>

<file path=customXml/itemProps3.xml><?xml version="1.0" encoding="utf-8"?>
<ds:datastoreItem xmlns:ds="http://schemas.openxmlformats.org/officeDocument/2006/customXml" ds:itemID="{EA3801E5-5B09-4ED5-AEAC-2C542001449D}">
  <ds:schemaRefs>
    <ds:schemaRef ds:uri="http://schemas.microsoft.com/office/2006/metadata/properties"/>
    <ds:schemaRef ds:uri="http://schemas.microsoft.com/office/infopath/2007/PartnerControls"/>
    <ds:schemaRef ds:uri="4cf9abc6-c769-464a-a082-61afb7671d51"/>
    <ds:schemaRef ds:uri="bbb1cdd1-cf5a-48b9-b14b-3d868fa48288"/>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5</Pages>
  <Words>1519</Words>
  <Characters>8660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10159</CharactersWithSpaces>
  <SharedDoc>false</SharedDoc>
  <HLinks>
    <vt:vector size="18" baseType="variant">
      <vt:variant>
        <vt:i4>2949180</vt:i4>
      </vt:variant>
      <vt:variant>
        <vt:i4>6</vt:i4>
      </vt:variant>
      <vt:variant>
        <vt:i4>0</vt:i4>
      </vt:variant>
      <vt:variant>
        <vt:i4>5</vt:i4>
      </vt:variant>
      <vt:variant>
        <vt:lpwstr>https://eur01.safelinks.protection.outlook.com/?url=https%3A%2F%2Fwww.medicines.org.uk%2Femc&amp;data=05%7C02%7CAnne.Cook%40mhra.gov.uk%7C6231c1c830b64761a66b08de7584d5e3%7Ce527ea5c62584cd2a27f8bd237ec4c26%7C0%7C0%7C639077410546092789%7CUnknown%7CTWFpbGZsb3d8eyJFbXB0eU1hcGkiOnRydWUsIlYiOiIwLjAuMDAwMCIsIlAiOiJXaW4zMiIsIkFOIjoiTWFpbCIsIldUIjoyfQ%3D%3D%7C0%7C%7C%7C&amp;sdata=bcFpr1TIfobTiHD3skXWjyp5UkZPhevHxNg5Wj83hyc%3D&amp;reserved=0</vt:lpwstr>
      </vt:variant>
      <vt:variant>
        <vt:lpwstr/>
      </vt:variant>
      <vt:variant>
        <vt:i4>4128867</vt:i4>
      </vt:variant>
      <vt:variant>
        <vt:i4>3</vt:i4>
      </vt:variant>
      <vt:variant>
        <vt:i4>0</vt:i4>
      </vt:variant>
      <vt:variant>
        <vt:i4>5</vt:i4>
      </vt:variant>
      <vt:variant>
        <vt:lpwstr>https://www.gov.uk/government/publications/international-recognition-procedure/international-recognition-procedure</vt:lpwstr>
      </vt:variant>
      <vt:variant>
        <vt:lpwstr/>
      </vt:variant>
      <vt:variant>
        <vt:i4>7077926</vt:i4>
      </vt:variant>
      <vt:variant>
        <vt:i4>0</vt:i4>
      </vt:variant>
      <vt:variant>
        <vt:i4>0</vt:i4>
      </vt:variant>
      <vt:variant>
        <vt:i4>5</vt:i4>
      </vt:variant>
      <vt:variant>
        <vt:lpwstr>https://www.gov.uk/guidance/national-assessment-procedure-for-medicines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DUNSTER, Imogen (NHS ENGLAND)</dc:creator>
  <cp:keywords/>
  <dc:description/>
  <cp:lastModifiedBy>Jeremy Durrant</cp:lastModifiedBy>
  <cp:revision>2</cp:revision>
  <dcterms:created xsi:type="dcterms:W3CDTF">2026-05-05T10:03:00Z</dcterms:created>
  <dcterms:modified xsi:type="dcterms:W3CDTF">2026-05-05T10:03:00Z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0x010100411417831C433D43906D4EEBC1E8C126</vt:lpwstr>
  </property>
  <property fmtid="{D5CDD505-2E9C-101B-9397-08002B2CF9AE}" pid="3" name="MediaServiceImageTags">
    <vt:lpwstr/>
  </property>
</Properties>
</file>